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97CC9" w14:textId="77777777" w:rsidR="00356888" w:rsidRPr="008853AD" w:rsidRDefault="008853AD">
      <w:pPr>
        <w:pStyle w:val="Annexetitre"/>
        <w:rPr>
          <w:noProof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8853AD">
        <w:rPr>
          <w:b w:val="0"/>
          <w:i/>
        </w:rPr>
        <w:t>VII. melléklet</w:t>
      </w:r>
      <w:r w:rsidRPr="008853AD">
        <w:t xml:space="preserve"> – A szavatolótőke nyilvánosságra hozatalának céljára szolgáló táblák kitöltésére vonatkozó útmutató</w:t>
      </w:r>
    </w:p>
    <w:p w14:paraId="3BB50383" w14:textId="77777777" w:rsidR="00356888" w:rsidRPr="008853AD" w:rsidRDefault="008853AD">
      <w:pPr>
        <w:rPr>
          <w:rFonts w:ascii="Times New Roman" w:hAnsi="Times New Roman" w:cs="Times New Roman"/>
          <w:b/>
          <w:bCs/>
          <w:sz w:val="24"/>
        </w:rPr>
      </w:pPr>
      <w:r w:rsidRPr="008853AD">
        <w:rPr>
          <w:rFonts w:ascii="Times New Roman" w:hAnsi="Times New Roman"/>
          <w:b/>
          <w:bCs/>
          <w:sz w:val="24"/>
        </w:rPr>
        <w:t>EU I CC1.01, EU I CC1.02 és EU I CC1.03 tábla – A szabályozói szavatolótőke összetétele</w:t>
      </w:r>
    </w:p>
    <w:p w14:paraId="2A547FEC" w14:textId="77777777" w:rsidR="00356888" w:rsidRPr="008853AD" w:rsidRDefault="008853AD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1.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 xml:space="preserve">A befektetési </w:t>
      </w:r>
      <w:r w:rsidRPr="008853AD">
        <w:rPr>
          <w:rFonts w:ascii="Times New Roman" w:hAnsi="Times New Roman"/>
          <w:bCs/>
          <w:sz w:val="24"/>
        </w:rPr>
        <w:t>vállalkozásoknak az (EU) 2019/2033 rendelet 49. cikke (1) bekezdése a) és c) pontjának megfelelően az e mellékletben megadott útmutatót kell használniuk a VI. mellékletben található EU I CC1 tábla kitöltéséhez.</w:t>
      </w:r>
    </w:p>
    <w:p w14:paraId="06BC5795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2.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befektetési vállalkozásoknak e tábla „b”</w:t>
      </w:r>
      <w:r w:rsidRPr="008853AD">
        <w:rPr>
          <w:rFonts w:ascii="Times New Roman" w:hAnsi="Times New Roman"/>
          <w:bCs/>
          <w:sz w:val="24"/>
        </w:rPr>
        <w:t xml:space="preserve"> oszlopában fel kell tüntetniük a jelentős inputok forrását, amelyeket az EU I CC2 tábla megfelelő soraiban kell a megfelelő sorokra vonatkozó kereszthivatkozással ellátni.</w:t>
      </w:r>
    </w:p>
    <w:p w14:paraId="02789040" w14:textId="77777777" w:rsidR="00356888" w:rsidRPr="008853AD" w:rsidRDefault="008853AD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3.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Az (EU) 2019/2033 rendelet 49. cikke (1) bekezdésének c) pontjának megfelelően a</w:t>
      </w:r>
      <w:r w:rsidRPr="008853AD">
        <w:rPr>
          <w:rFonts w:ascii="Times New Roman" w:hAnsi="Times New Roman"/>
          <w:bCs/>
          <w:sz w:val="24"/>
        </w:rPr>
        <w:t xml:space="preserve"> befektetési vállalkozásoknak a táblát kísérő szöveges magyarázatban ismertetniük kell a szavatolótőke kiszámítása során az említett rendelettel összhangban alkalmazott valamennyi korlátozást, valamint azokat az instrumentumokat és levonásokat, amelyekre e</w:t>
      </w:r>
      <w:r w:rsidRPr="008853AD">
        <w:rPr>
          <w:rFonts w:ascii="Times New Roman" w:hAnsi="Times New Roman"/>
          <w:bCs/>
          <w:sz w:val="24"/>
        </w:rPr>
        <w:t>zek a korlátozások vonatkoznak. Ki kell fejteniük továbbá a közzétett összegekben a korábbi közzétételi időszakokhoz képest bekövetkezett főbb változásokat.</w:t>
      </w:r>
    </w:p>
    <w:p w14:paraId="6642A5AA" w14:textId="77777777" w:rsidR="00356888" w:rsidRPr="008853AD" w:rsidRDefault="008853AD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4.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Ez a tábla rögzített, és a befektetési vállalkozásoknak azt a VI. mellékletben megadott formátum</w:t>
      </w:r>
      <w:r w:rsidRPr="008853AD">
        <w:rPr>
          <w:rFonts w:ascii="Times New Roman" w:hAnsi="Times New Roman"/>
          <w:bCs/>
          <w:sz w:val="24"/>
        </w:rPr>
        <w:t>mal azonos formátumban kell közzétenniük.</w:t>
      </w:r>
    </w:p>
    <w:p w14:paraId="25DA505D" w14:textId="77777777" w:rsidR="00356888" w:rsidRPr="008853AD" w:rsidRDefault="008853AD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5.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kis méretű és össze nem kapcsolt befektetési vállalkozásoktól eltérő befektetési vállalkozásoknak a VI. melléklet EU I CC1.01 táblájával összhangban kell nyilvánosságra hozniuk a szavatolótőke összetételére vo</w:t>
      </w:r>
      <w:r w:rsidRPr="008853AD">
        <w:rPr>
          <w:rFonts w:ascii="Times New Roman" w:hAnsi="Times New Roman"/>
          <w:bCs/>
          <w:sz w:val="24"/>
        </w:rPr>
        <w:t>natkozó információkat. A kiegészítő alapvető tőkeinstrumentumokat kibocsátó kis méretű és össze nem kapcsolt befektetési vállalkozásoknak a VI. mellékletben szereplő EU I CC1.02 táblának megfelelően kell nyilvánosságra hozniuk a szavatolótőke összetételére</w:t>
      </w:r>
      <w:r w:rsidRPr="008853AD">
        <w:rPr>
          <w:rFonts w:ascii="Times New Roman" w:hAnsi="Times New Roman"/>
          <w:bCs/>
          <w:sz w:val="24"/>
        </w:rPr>
        <w:t xml:space="preserve"> vonatkozó információkat.</w:t>
      </w:r>
    </w:p>
    <w:p w14:paraId="4349D5F4" w14:textId="77777777" w:rsidR="00356888" w:rsidRPr="008853AD" w:rsidRDefault="008853AD">
      <w:pPr>
        <w:rPr>
          <w:rFonts w:ascii="Times New Roman" w:hAnsi="Times New Roman" w:cs="Times New Roman"/>
          <w:b/>
          <w:bCs/>
          <w:sz w:val="24"/>
        </w:rPr>
      </w:pPr>
      <w:r w:rsidRPr="008853AD">
        <w:rPr>
          <w:rFonts w:ascii="Times New Roman" w:hAnsi="Times New Roman"/>
          <w:b/>
          <w:bCs/>
          <w:sz w:val="24"/>
        </w:rPr>
        <w:t>EU I CC1.01 tábla – A szabályozói szavatoló tőke összetétele (kis méretű és össze nem kapcsolt befektetési vállalkozásoktól eltérő befektetési vállalkozások)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356888" w:rsidRPr="008853AD" w14:paraId="136146DC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02A1C723" w14:textId="77777777" w:rsidR="00356888" w:rsidRPr="008853AD" w:rsidRDefault="008853AD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Jogszabályi hivatkozások és útmutató</w:t>
            </w:r>
          </w:p>
        </w:tc>
      </w:tr>
      <w:tr w:rsidR="00356888" w:rsidRPr="008853AD" w14:paraId="172B980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15E821C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Sor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0565384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 xml:space="preserve">Jogszabályi </w:t>
            </w:r>
            <w:r w:rsidRPr="008853AD">
              <w:rPr>
                <w:rFonts w:ascii="Times New Roman" w:hAnsi="Times New Roman"/>
                <w:szCs w:val="22"/>
              </w:rPr>
              <w:t>hivatkozások és útmutató</w:t>
            </w:r>
          </w:p>
        </w:tc>
      </w:tr>
      <w:tr w:rsidR="00356888" w:rsidRPr="008853AD" w14:paraId="6BF056B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E737DB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7683" w:type="dxa"/>
            <w:shd w:val="clear" w:color="auto" w:fill="auto"/>
          </w:tcPr>
          <w:p w14:paraId="2FAB7C8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Szavatolótőke</w:t>
            </w:r>
          </w:p>
          <w:p w14:paraId="60D5EC6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bekezdése.</w:t>
            </w:r>
          </w:p>
          <w:p w14:paraId="09DA7087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Egy befektetési vállalkozás szavatolótőkéje elsődleges alapvető tőkéjének, kiegészítő alapvető tőkéjének és járulékos tőkéjének összegéből áll.</w:t>
            </w:r>
          </w:p>
          <w:p w14:paraId="1C1BA75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Ez a sor a 2. </w:t>
            </w:r>
            <w:r w:rsidRPr="008853AD">
              <w:rPr>
                <w:rFonts w:ascii="Times New Roman" w:hAnsi="Times New Roman"/>
                <w:bCs/>
                <w:szCs w:val="22"/>
              </w:rPr>
              <w:t>és 40. sor összege.</w:t>
            </w:r>
          </w:p>
        </w:tc>
      </w:tr>
      <w:tr w:rsidR="00356888" w:rsidRPr="008853AD" w14:paraId="5F8DDF8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E3C036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7683" w:type="dxa"/>
            <w:shd w:val="clear" w:color="auto" w:fill="auto"/>
          </w:tcPr>
          <w:p w14:paraId="5F5B343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Alapvető tőke (Tier 1 tőke)</w:t>
            </w:r>
          </w:p>
          <w:p w14:paraId="48EE61C4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alapvető tőke az elsődleges alapvető tőke és a kiegészítő alapvető tőke összege.</w:t>
            </w:r>
          </w:p>
          <w:p w14:paraId="7C2982D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3. és 28. sor összege.</w:t>
            </w:r>
          </w:p>
        </w:tc>
      </w:tr>
      <w:tr w:rsidR="00356888" w:rsidRPr="008853AD" w14:paraId="0923061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0C615E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7683" w:type="dxa"/>
            <w:shd w:val="clear" w:color="auto" w:fill="auto"/>
          </w:tcPr>
          <w:p w14:paraId="2A42945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Elsődleges alapvető tőke (CET1)</w:t>
            </w:r>
          </w:p>
          <w:p w14:paraId="574260A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rendelet 9. cikkének (1) </w:t>
            </w:r>
            <w:r w:rsidRPr="008853AD">
              <w:rPr>
                <w:rFonts w:ascii="Times New Roman" w:hAnsi="Times New Roman"/>
                <w:bCs/>
                <w:szCs w:val="22"/>
              </w:rPr>
              <w:t>bekezdése.</w:t>
            </w:r>
          </w:p>
          <w:p w14:paraId="28835265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50. cikke.</w:t>
            </w:r>
          </w:p>
          <w:p w14:paraId="50FCB11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A 4–12. és a 27. sor teljes összegét kell megadni.</w:t>
            </w:r>
          </w:p>
        </w:tc>
      </w:tr>
      <w:tr w:rsidR="00356888" w:rsidRPr="008853AD" w14:paraId="2EB334A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FAC88E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4.</w:t>
            </w:r>
          </w:p>
        </w:tc>
        <w:tc>
          <w:tcPr>
            <w:tcW w:w="7683" w:type="dxa"/>
            <w:shd w:val="clear" w:color="auto" w:fill="auto"/>
          </w:tcPr>
          <w:p w14:paraId="390DC24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 tőkeinstrumentumok</w:t>
            </w:r>
          </w:p>
          <w:p w14:paraId="5FE2803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0F5CE1AC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Az 575/2013/EU rendelet 26. cikke (1) bekezd</w:t>
            </w:r>
            <w:r w:rsidRPr="008853AD">
              <w:t>ésének a) pontja és 27–31. cikke.</w:t>
            </w:r>
          </w:p>
          <w:p w14:paraId="794A3F59" w14:textId="77777777" w:rsidR="00356888" w:rsidRPr="008853AD" w:rsidRDefault="00356888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lang w:val="fr-BE"/>
              </w:rPr>
            </w:pPr>
          </w:p>
          <w:p w14:paraId="306D3E8E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Magában foglalja a kölcsönös biztosítók, szövetkezeti társaságok és hasonló intézmények tőkeinstrumentumait (az 575/2013/EU rendelet 27. és 29. cikke).</w:t>
            </w:r>
          </w:p>
          <w:p w14:paraId="6A05A5ED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Nem tartalmazza az instrumentumokhoz kapcsolódó ázsiót.</w:t>
            </w:r>
          </w:p>
          <w:p w14:paraId="75BB54DA" w14:textId="77777777" w:rsidR="00356888" w:rsidRPr="008853AD" w:rsidRDefault="008853AD">
            <w:pPr>
              <w:pStyle w:val="InstructionsText"/>
            </w:pPr>
            <w:r w:rsidRPr="008853AD">
              <w:t xml:space="preserve">A </w:t>
            </w:r>
            <w:r w:rsidRPr="008853AD">
              <w:t>szükséghelyzetekben állami hatóságok által lejegyzett tőkeinstrumentumokat akkor tartalmazza, ha az 575/2013/EU rendelet 31. cikkében foglalt minden feltétel teljesül.</w:t>
            </w:r>
          </w:p>
        </w:tc>
      </w:tr>
      <w:tr w:rsidR="00356888" w:rsidRPr="008853AD" w14:paraId="612E675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BF764C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5.</w:t>
            </w:r>
          </w:p>
        </w:tc>
        <w:tc>
          <w:tcPr>
            <w:tcW w:w="7683" w:type="dxa"/>
            <w:shd w:val="clear" w:color="auto" w:fill="auto"/>
          </w:tcPr>
          <w:p w14:paraId="4CE0E62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6AEB30A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5BB73F01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(EU) 575/20</w:t>
            </w:r>
            <w:r w:rsidRPr="008853AD">
              <w:rPr>
                <w:rFonts w:ascii="Times New Roman" w:hAnsi="Times New Roman"/>
                <w:szCs w:val="22"/>
              </w:rPr>
              <w:t>13 rendelet 26. cikke (1) bekezdésének b) pontja.</w:t>
            </w:r>
          </w:p>
          <w:p w14:paraId="1FF8E168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29EC16A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befizetett tőkeinstrumentumokhoz kapcsolódó rész.</w:t>
            </w:r>
          </w:p>
        </w:tc>
      </w:tr>
      <w:tr w:rsidR="00356888" w:rsidRPr="008853AD" w14:paraId="09A3FCF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C3EC6C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6.</w:t>
            </w:r>
          </w:p>
        </w:tc>
        <w:tc>
          <w:tcPr>
            <w:tcW w:w="7683" w:type="dxa"/>
            <w:shd w:val="clear" w:color="auto" w:fill="auto"/>
          </w:tcPr>
          <w:p w14:paraId="1F5B874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Eredménytartalék</w:t>
            </w:r>
          </w:p>
          <w:p w14:paraId="1562366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</w:t>
            </w:r>
            <w:r w:rsidRPr="008853AD">
              <w:rPr>
                <w:rFonts w:ascii="Times New Roman" w:hAnsi="Times New Roman"/>
                <w:bCs/>
                <w:szCs w:val="22"/>
              </w:rPr>
              <w:t>U) 2019/2033 rendelet 9. cikke (1) bekezdésének i. pontja.</w:t>
            </w:r>
          </w:p>
          <w:p w14:paraId="73CD749D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26. cikke (1) bekezdésének c) pontja.</w:t>
            </w:r>
          </w:p>
          <w:p w14:paraId="2BFFA68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eredménytartalék az előző évi eredménytartalékot és a figyelembe vehető évközi vagy év végi nyereséget foglalja magában.</w:t>
            </w:r>
          </w:p>
        </w:tc>
      </w:tr>
      <w:tr w:rsidR="00356888" w:rsidRPr="008853AD" w14:paraId="69C8715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32CF9A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7.</w:t>
            </w:r>
          </w:p>
        </w:tc>
        <w:tc>
          <w:tcPr>
            <w:tcW w:w="7683" w:type="dxa"/>
            <w:shd w:val="clear" w:color="auto" w:fill="auto"/>
          </w:tcPr>
          <w:p w14:paraId="1F727F0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Halmozott egyéb átfogó jövedelem</w:t>
            </w:r>
          </w:p>
          <w:p w14:paraId="067FA65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6A1CB13D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(EU) 575/2013 rendelet 26. cikke (1) bekezdésének d) pontja.</w:t>
            </w:r>
          </w:p>
        </w:tc>
      </w:tr>
      <w:tr w:rsidR="00356888" w:rsidRPr="008853AD" w14:paraId="5DD2AA5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9B1CE7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8.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454A37E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Egyéb tartalékok</w:t>
            </w:r>
          </w:p>
          <w:p w14:paraId="4B4F1A6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34B546A0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 xml:space="preserve">Az </w:t>
            </w:r>
            <w:r w:rsidRPr="008853AD">
              <w:rPr>
                <w:rFonts w:ascii="Times New Roman" w:hAnsi="Times New Roman"/>
                <w:szCs w:val="22"/>
              </w:rPr>
              <w:t>575/2013/EU rendelet 4. cikke (1) bekezdésének 117. pontja és 26. cikke (1) bekezdésének e) pontja.</w:t>
            </w:r>
          </w:p>
          <w:p w14:paraId="2963341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a kiszámítás időpontjában előre látható adóterhek levonásával kapott összeg.</w:t>
            </w:r>
          </w:p>
        </w:tc>
      </w:tr>
      <w:tr w:rsidR="00356888" w:rsidRPr="008853AD" w14:paraId="4DAFF0D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5DD2D0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9.</w:t>
            </w:r>
          </w:p>
        </w:tc>
        <w:tc>
          <w:tcPr>
            <w:tcW w:w="7683" w:type="dxa"/>
            <w:shd w:val="clear" w:color="auto" w:fill="auto"/>
          </w:tcPr>
          <w:p w14:paraId="411587E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Az elsődleges alapvető tőkében (CET1)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megjelenített kisebbségi részesedés</w:t>
            </w:r>
          </w:p>
          <w:p w14:paraId="720BE72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leányvállalatok összes kisebbségi részesedésének a konszolidált CET1 tőkébe beszámított összege.</w:t>
            </w:r>
          </w:p>
        </w:tc>
      </w:tr>
      <w:tr w:rsidR="00356888" w:rsidRPr="008853AD" w14:paraId="5A66BEA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1B7B6D4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10.</w:t>
            </w:r>
          </w:p>
        </w:tc>
        <w:tc>
          <w:tcPr>
            <w:tcW w:w="7683" w:type="dxa"/>
            <w:shd w:val="clear" w:color="auto" w:fill="auto"/>
          </w:tcPr>
          <w:p w14:paraId="2FEDE8D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Prudenciális szűrők miatt végrehajtott kiigazítások az elsődleges alapvető tőkében (CET1)</w:t>
            </w:r>
          </w:p>
          <w:p w14:paraId="550A4377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(EU) 2019/2033 rendelet</w:t>
            </w:r>
            <w:r w:rsidRPr="008853AD">
              <w:rPr>
                <w:rFonts w:ascii="Times New Roman" w:hAnsi="Times New Roman"/>
                <w:szCs w:val="22"/>
              </w:rPr>
              <w:t xml:space="preserve"> 9. cikke (1) bekezdésének i. pontja.</w:t>
            </w:r>
          </w:p>
          <w:p w14:paraId="05CB116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32–35. cikke</w:t>
            </w:r>
          </w:p>
        </w:tc>
      </w:tr>
      <w:tr w:rsidR="00356888" w:rsidRPr="008853AD" w14:paraId="3953428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2AE107F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11.</w:t>
            </w:r>
          </w:p>
        </w:tc>
        <w:tc>
          <w:tcPr>
            <w:tcW w:w="7683" w:type="dxa"/>
            <w:shd w:val="clear" w:color="auto" w:fill="auto"/>
          </w:tcPr>
          <w:p w14:paraId="5ABBB89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Egyéb pénzeszközök</w:t>
            </w:r>
          </w:p>
          <w:p w14:paraId="6EA48A1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9. cikkének (4) bekezdése.</w:t>
            </w:r>
          </w:p>
        </w:tc>
      </w:tr>
      <w:tr w:rsidR="00356888" w:rsidRPr="008853AD" w14:paraId="0A12E77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A2C976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12.</w:t>
            </w:r>
          </w:p>
        </w:tc>
        <w:tc>
          <w:tcPr>
            <w:tcW w:w="7683" w:type="dxa"/>
            <w:shd w:val="clear" w:color="auto" w:fill="auto"/>
          </w:tcPr>
          <w:p w14:paraId="2BB91A2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AZ ELSŐDLEGES ALAPVETŐ TŐKÉBŐL VALÓ LEVONÁSOK ÖSSZESEN</w:t>
            </w:r>
          </w:p>
          <w:p w14:paraId="772CBB1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 13. és a 17–26. sor teljes </w:t>
            </w:r>
            <w:r w:rsidRPr="008853AD">
              <w:rPr>
                <w:rFonts w:ascii="Times New Roman" w:hAnsi="Times New Roman"/>
                <w:bCs/>
                <w:szCs w:val="22"/>
              </w:rPr>
              <w:t>összegét kell megadni.</w:t>
            </w:r>
          </w:p>
        </w:tc>
      </w:tr>
      <w:tr w:rsidR="00356888" w:rsidRPr="008853AD" w14:paraId="167FA3F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24635A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13.</w:t>
            </w:r>
          </w:p>
        </w:tc>
        <w:tc>
          <w:tcPr>
            <w:tcW w:w="7683" w:type="dxa"/>
            <w:shd w:val="clear" w:color="auto" w:fill="auto"/>
          </w:tcPr>
          <w:p w14:paraId="2A85A38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Saját elsődleges alapvető (CET1) tőkeinstrumentumok</w:t>
            </w:r>
          </w:p>
          <w:p w14:paraId="63DE898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6B4E7E3E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Az 575/2013/EU rendelet 36. cikke (1) f) pontja és 42. cikke.</w:t>
            </w:r>
          </w:p>
          <w:p w14:paraId="3D4E02F0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adatot szolgáltató intézmény vagy csoport saját CET1 tőkéje az adatszolgáltatás vonatkozási időpontjában. </w:t>
            </w:r>
            <w:r w:rsidRPr="008853AD">
              <w:t>Az 575/2013/EU rendelet 42. cikkében foglalt kivételek figyelembevételével.</w:t>
            </w:r>
          </w:p>
          <w:p w14:paraId="74D3991C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Ebben a sorban nem tüntethetők fel a „Figyelembe nem vehető tőkeinstrum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entum”-ként szerepeltetett részvények.</w:t>
            </w:r>
          </w:p>
          <w:p w14:paraId="74A5C4E6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magában foglalja a saját részvényekhez kapcsolódó ázsiót.</w:t>
            </w:r>
          </w:p>
        </w:tc>
      </w:tr>
      <w:tr w:rsidR="00356888" w:rsidRPr="008853AD" w14:paraId="359AA10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9C210A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14.</w:t>
            </w:r>
          </w:p>
        </w:tc>
        <w:tc>
          <w:tcPr>
            <w:tcW w:w="7683" w:type="dxa"/>
            <w:shd w:val="clear" w:color="auto" w:fill="auto"/>
          </w:tcPr>
          <w:p w14:paraId="65067D6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Közvetlen részesedések elsődleges alapvető (CET1) tőkeinstrumentumokban</w:t>
            </w:r>
          </w:p>
          <w:p w14:paraId="4506FB3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 xml:space="preserve">Az (EU) 2019/2033 rendelet 9. cikke (1) </w:t>
            </w:r>
            <w:r w:rsidRPr="008853AD">
              <w:rPr>
                <w:rFonts w:ascii="Times New Roman" w:hAnsi="Times New Roman"/>
                <w:bCs/>
              </w:rPr>
              <w:t>bekezdésének i. pontja.</w:t>
            </w:r>
          </w:p>
          <w:p w14:paraId="37DF67E9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Az 575/2013/EU rendelet 36. cikke (1) f) pontja és 42. cikke.</w:t>
            </w:r>
          </w:p>
          <w:p w14:paraId="10A218B5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 befektetési vállalkozás birtokában lévő elsődleges alapvető tőkeinstrumentumok. </w:t>
            </w:r>
          </w:p>
        </w:tc>
      </w:tr>
      <w:tr w:rsidR="00356888" w:rsidRPr="008853AD" w14:paraId="3B47FDF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20A27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15.</w:t>
            </w:r>
          </w:p>
        </w:tc>
        <w:tc>
          <w:tcPr>
            <w:tcW w:w="7683" w:type="dxa"/>
            <w:shd w:val="clear" w:color="auto" w:fill="auto"/>
          </w:tcPr>
          <w:p w14:paraId="6705CB6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Közvetett részesedések elsődleges alapvető (CET1) tőkeinstrumentumokban</w:t>
            </w:r>
          </w:p>
          <w:p w14:paraId="645836C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>Az (EU</w:t>
            </w:r>
            <w:r w:rsidRPr="008853AD">
              <w:rPr>
                <w:rFonts w:ascii="Times New Roman" w:hAnsi="Times New Roman"/>
                <w:bCs/>
              </w:rPr>
              <w:t>) 2019/2033 rendelet 9. cikke (1) bekezdésének i. pontja.</w:t>
            </w:r>
          </w:p>
          <w:p w14:paraId="2739873F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Az 575/2013/EU rendelet 36. cikke (1) f) pontja és 42. cikke.</w:t>
            </w:r>
          </w:p>
          <w:p w14:paraId="65063C66" w14:textId="77777777" w:rsidR="00356888" w:rsidRPr="008853AD" w:rsidRDefault="008853AD">
            <w:pPr>
              <w:pStyle w:val="InstructionsText"/>
            </w:pPr>
            <w:r w:rsidRPr="008853AD">
              <w:t>A befektetési vállalkozás birtokában lévő elsődleges alapvető tőkeinstrumentumok.</w:t>
            </w:r>
          </w:p>
        </w:tc>
      </w:tr>
      <w:tr w:rsidR="00356888" w:rsidRPr="008853AD" w14:paraId="6F54D33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3E65ED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16.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53B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Szintetikus részesedések elsődleges alapvető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(CET1) tőkeinstrumentumokban</w:t>
            </w:r>
          </w:p>
          <w:p w14:paraId="6AE1C6D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729593D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</w:rPr>
              <w:t>Az 575/2013/EU rendelet 4. cikke (1) bekezdésének 114. pontja, 36. cikke (1) bekezdésének f) pontja és 42. cikke.</w:t>
            </w:r>
          </w:p>
        </w:tc>
      </w:tr>
      <w:tr w:rsidR="00356888" w:rsidRPr="008853AD" w14:paraId="5BD3384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74BB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17.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16A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Folyó üzleti év veszteségei</w:t>
            </w:r>
          </w:p>
          <w:p w14:paraId="3FAFF19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</w:rPr>
              <w:t xml:space="preserve">Az </w:t>
            </w:r>
            <w:r w:rsidRPr="008853AD">
              <w:rPr>
                <w:rFonts w:ascii="Times New Roman" w:hAnsi="Times New Roman"/>
                <w:bCs/>
              </w:rPr>
              <w:t>575/2013/EU rendelet 36. cikke (1) bekezdésének a) pontja.</w:t>
            </w:r>
          </w:p>
        </w:tc>
      </w:tr>
      <w:tr w:rsidR="00356888" w:rsidRPr="008853AD" w14:paraId="31965FC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236F4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18.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104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Cégérték (goodwill)</w:t>
            </w:r>
          </w:p>
          <w:p w14:paraId="4DE740D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3BAE87A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</w:rPr>
              <w:t xml:space="preserve">Az 575/2013/EU rendelet 4. cikke (1) bekezdésének 113. pontja, 36. cikke (1) bekezdésének b) </w:t>
            </w:r>
            <w:r w:rsidRPr="008853AD">
              <w:rPr>
                <w:rFonts w:ascii="Times New Roman" w:hAnsi="Times New Roman"/>
              </w:rPr>
              <w:t>pontja és 37. cikke.</w:t>
            </w:r>
          </w:p>
        </w:tc>
      </w:tr>
      <w:tr w:rsidR="00356888" w:rsidRPr="008853AD" w14:paraId="6B47C7F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E4BD1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701D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immateriális javak</w:t>
            </w:r>
          </w:p>
          <w:p w14:paraId="634F1AF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6CCAE2A7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t>Az 575/2013/EU rendelet 4. cikke (1) bekezdésének 115. pontja, 36. cikke (1) bekezdésének b) pontja és 37. cikkének a) pontja.</w:t>
            </w:r>
          </w:p>
          <w:p w14:paraId="3E6607D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egyéb immateriális javak értéke az alkalmazandó számviteli szabályozás szerint immateriális javaknak minősülő eszközök értéke, csökkentve ugyancsak az alkalmazandó számviteli szabályozás szerinti cégértékkel.</w:t>
            </w:r>
          </w:p>
        </w:tc>
      </w:tr>
      <w:tr w:rsidR="00356888" w:rsidRPr="008853AD" w14:paraId="39AFFD6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CEB75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20.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DE2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Jövőbeli nyereségtől függően érvényesí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thető, nem átmeneti különbözetből eredő halasztott adókövetelések kapcsolódó adókötelezettségek nélkül</w:t>
            </w:r>
          </w:p>
          <w:p w14:paraId="79C230B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9. cikke (2) bekezdésének a) pontja.</w:t>
            </w:r>
          </w:p>
          <w:p w14:paraId="29D3B41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</w:rPr>
              <w:t>Az 575/2013/EU rendelet 36. cikke (1) bekezdésének c) pontja.</w:t>
            </w:r>
          </w:p>
        </w:tc>
      </w:tr>
      <w:tr w:rsidR="00356888" w:rsidRPr="008853AD" w14:paraId="58A0F71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99B46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21.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DF0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A pénzügyi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ágazaton kívüli befolyásoló részesedés, amely meghaladja a szavatolótőke 15 %-át</w:t>
            </w:r>
          </w:p>
          <w:p w14:paraId="543A38C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10. cikke (1) bekezdésének a) pontja.</w:t>
            </w:r>
          </w:p>
        </w:tc>
      </w:tr>
      <w:tr w:rsidR="00356888" w:rsidRPr="008853AD" w14:paraId="085FFA4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4348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22.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EC9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pénzügyi ágazatbeli szervezetektől eltérő vállalkozásokban lévő összes befolyásoló részesedés, amel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y meghaladja a szavatolótőke 60 %-át</w:t>
            </w:r>
          </w:p>
          <w:p w14:paraId="1EB45CF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</w:rPr>
              <w:t>Az (EU) 2019/2033 rendelet 10. cikke (1) bekezdésének b) pontja.</w:t>
            </w:r>
          </w:p>
        </w:tc>
      </w:tr>
      <w:tr w:rsidR="00356888" w:rsidRPr="008853AD" w14:paraId="08C28E8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046C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23.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774B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Pénzügyi ágazatbeli olyan szervezetek által kibocsátott elsődleges alapvető (CET1) tőkeinstrumentumok, amelyekben az intézmény nem rendelkezik je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lentős részesedéssel</w:t>
            </w:r>
          </w:p>
          <w:p w14:paraId="4DC4799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0578DCF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36. cikke (1) bekezdésének h) pontja.</w:t>
            </w:r>
          </w:p>
        </w:tc>
      </w:tr>
      <w:tr w:rsidR="00356888" w:rsidRPr="008853AD" w14:paraId="5E36C21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E3C3B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24.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0D0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Pénzügyi ágazatbeli olyan szervezetek által kibocsátott elsődleges alapvető (CET1)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tőkeinstrumentumok, amelyekben az intézmény jelentős részesedéssel rendelkezik</w:t>
            </w:r>
          </w:p>
          <w:p w14:paraId="4179E08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d) pontja.</w:t>
            </w:r>
          </w:p>
          <w:p w14:paraId="7BA75A0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36. cikke (1) bekezdésének i) pontja.</w:t>
            </w:r>
          </w:p>
        </w:tc>
      </w:tr>
      <w:tr w:rsidR="00356888" w:rsidRPr="008853AD" w14:paraId="5D172EF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0177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25.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EB6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Meghatározott szolgáltatást nyújtó nyugdíj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alapban lévő eszközök</w:t>
            </w:r>
          </w:p>
          <w:p w14:paraId="6C647B4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b) pontja.</w:t>
            </w:r>
          </w:p>
          <w:p w14:paraId="65D9517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36. cikke (1) bekezdésének e) pontja.</w:t>
            </w:r>
          </w:p>
        </w:tc>
      </w:tr>
      <w:tr w:rsidR="00356888" w:rsidRPr="008853AD" w14:paraId="2E11786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D710F9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26.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11D7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levonások</w:t>
            </w:r>
          </w:p>
          <w:p w14:paraId="6F83CB0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36. cikkének (1) bekezdésében felsorolt egyéb levonások öss</w:t>
            </w:r>
            <w:r w:rsidRPr="008853AD">
              <w:rPr>
                <w:rFonts w:ascii="Times New Roman" w:hAnsi="Times New Roman"/>
                <w:bCs/>
                <w:szCs w:val="22"/>
              </w:rPr>
              <w:t>zege.</w:t>
            </w:r>
          </w:p>
        </w:tc>
      </w:tr>
      <w:tr w:rsidR="00356888" w:rsidRPr="008853AD" w14:paraId="0576E66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6F44062A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27.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6CC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Elsődleges alapvető tőke (CET1): egyéb tőkeelemek, levonások és kiigazítások</w:t>
            </w:r>
          </w:p>
          <w:p w14:paraId="5B33AB8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következő tételek összegét tartalmazza, amennyiben alkalmazandó:</w:t>
            </w:r>
          </w:p>
          <w:p w14:paraId="6848E0BD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Szerzett jogok alapján figyelembe vett CET1 tőkeinstrumentumok miatti átmeneti </w:t>
            </w:r>
            <w:r w:rsidRPr="008853AD">
              <w:rPr>
                <w:rFonts w:ascii="Times New Roman" w:hAnsi="Times New Roman"/>
                <w:bCs/>
              </w:rPr>
              <w:t>kiigazítások (az 575/2013/EU rendelet 483. cikkének (1), (2) és (3) bekezdése, valamint 484–487. cikke).</w:t>
            </w:r>
          </w:p>
          <w:p w14:paraId="4EE2AC6B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Kisebbségi részesedések és megfelelőik miatti átmeneti kiigazítások (az 575/2013/EU rendelet 479. és 480. cikke).</w:t>
            </w:r>
          </w:p>
          <w:p w14:paraId="68FD6514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CET1 tőke egyéb átmeneti kiigaz</w:t>
            </w:r>
            <w:r w:rsidRPr="008853AD">
              <w:rPr>
                <w:rFonts w:ascii="Times New Roman" w:hAnsi="Times New Roman"/>
                <w:bCs/>
              </w:rPr>
              <w:t>ításai (az 575/2013/EU rendelet 469–478. és 481. cikke): a CET1 tőkéből történő levonásokban az átmeneti rendelkezések miatt végrehajtott kiigazítások.</w:t>
            </w:r>
          </w:p>
          <w:p w14:paraId="5C1B92CC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CET1 tőkeelemek vagy levonások CET1 tőkeelemekből, amelyek nem sorolhatók a 4–26. sorok egyikébe</w:t>
            </w:r>
            <w:r w:rsidRPr="008853AD">
              <w:rPr>
                <w:rFonts w:ascii="Times New Roman" w:hAnsi="Times New Roman"/>
                <w:bCs/>
              </w:rPr>
              <w:t xml:space="preserve"> sem.</w:t>
            </w:r>
          </w:p>
          <w:p w14:paraId="28DB707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nem használható az (EU) 2019/2033 rendelet vagy az 575/2013/EU rendelet hatálya alá nem tartozó tőkeelemeknek vagy levonásoknak a tőkemegfelelési mutató kiszámítása során történő figyelembevételére.</w:t>
            </w:r>
          </w:p>
        </w:tc>
      </w:tr>
      <w:tr w:rsidR="00356888" w:rsidRPr="008853AD" w14:paraId="6A5E87F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3D715DA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28.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828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KIEGÉSZÍTŐ ALAPVETŐ TŐKE (AT1)</w:t>
            </w:r>
          </w:p>
          <w:p w14:paraId="63F6F52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</w:t>
            </w:r>
            <w:r w:rsidRPr="008853AD">
              <w:rPr>
                <w:rFonts w:ascii="Times New Roman" w:hAnsi="Times New Roman"/>
                <w:bCs/>
                <w:szCs w:val="22"/>
              </w:rPr>
              <w:t>(EU) 2019/2033 rendelet 9. cikkének (1) bekezdése.</w:t>
            </w:r>
          </w:p>
          <w:p w14:paraId="142786C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61. cikke.</w:t>
            </w:r>
          </w:p>
          <w:p w14:paraId="4B6B31B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29–31. és a 39. sor teljes összegét kell megadni.</w:t>
            </w:r>
          </w:p>
        </w:tc>
      </w:tr>
      <w:tr w:rsidR="00356888" w:rsidRPr="008853AD" w14:paraId="6DA74BD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792730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29.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E59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befizetett, közvetlenül kibocsátott tőkeinstrumentumok</w:t>
            </w:r>
          </w:p>
          <w:p w14:paraId="7F3FF30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</w:t>
            </w:r>
            <w:r w:rsidRPr="008853AD">
              <w:rPr>
                <w:rFonts w:ascii="Times New Roman" w:hAnsi="Times New Roman"/>
                <w:bCs/>
                <w:szCs w:val="22"/>
              </w:rPr>
              <w:t>ekezdésének i. pontja.</w:t>
            </w:r>
          </w:p>
          <w:p w14:paraId="535C484F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Az 575/2013/EU rendelet 51. cikkének a) pontja és 52., 53. és 54. cikke.</w:t>
            </w:r>
          </w:p>
          <w:p w14:paraId="164EF20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nem foglalhatja magában az instrumentumokhoz kapcsolódó ázsiót.</w:t>
            </w:r>
          </w:p>
        </w:tc>
      </w:tr>
      <w:tr w:rsidR="00356888" w:rsidRPr="008853AD" w14:paraId="1E16D96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615160D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30.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CB5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23B386B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rendelet 9. cikke (1) </w:t>
            </w:r>
            <w:r w:rsidRPr="008853AD">
              <w:rPr>
                <w:rFonts w:ascii="Times New Roman" w:hAnsi="Times New Roman"/>
                <w:bCs/>
                <w:szCs w:val="22"/>
              </w:rPr>
              <w:t>bekezdésének i. pontja.</w:t>
            </w:r>
          </w:p>
          <w:p w14:paraId="39430AD8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t>Az 575/2013/EU rendelet 26. cikke (51) bekezdésének b) pontja.</w:t>
            </w:r>
          </w:p>
          <w:p w14:paraId="5C03D270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19AD07F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befizetett tőkeinstrumentumokhoz kapcso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lódó rész.</w:t>
            </w:r>
          </w:p>
        </w:tc>
      </w:tr>
      <w:tr w:rsidR="00356888" w:rsidRPr="008853AD" w14:paraId="78413D9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D9E51D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31.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FC7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KIEGÉSZÍTŐ ALAPVETŐ TŐKÉBŐL VALÓ LEVONÁSOK ÖSSZESEN</w:t>
            </w:r>
          </w:p>
          <w:p w14:paraId="1FFFA31E" w14:textId="77777777" w:rsidR="00356888" w:rsidRPr="008853AD" w:rsidRDefault="008853AD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56. cikke.</w:t>
            </w:r>
          </w:p>
          <w:p w14:paraId="2D21798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32. és a 36–38. sor teljes összegét kell megadni.</w:t>
            </w:r>
          </w:p>
        </w:tc>
      </w:tr>
      <w:tr w:rsidR="00356888" w:rsidRPr="008853AD" w14:paraId="240C589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581A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32.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AF65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Saját elsődleges alapvető (AT1) tőkeinstrumentumok</w:t>
            </w:r>
          </w:p>
          <w:p w14:paraId="5DB98DB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rendelet 9. </w:t>
            </w:r>
            <w:r w:rsidRPr="008853AD">
              <w:rPr>
                <w:rFonts w:ascii="Times New Roman" w:hAnsi="Times New Roman"/>
                <w:bCs/>
                <w:szCs w:val="22"/>
              </w:rPr>
              <w:t>cikke (1) bekezdésének i. pontja.</w:t>
            </w:r>
          </w:p>
          <w:p w14:paraId="327EC082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t>Az 575/2013/EU rendelet 52. cikke (1) bekezdésének b) pontja, 56. cikkének a) pontja és 57. cikke.</w:t>
            </w:r>
          </w:p>
          <w:p w14:paraId="43AC0DF3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befektetési vállalkozás saját AT1 tőkeinstrumentumai az adatszolgáltatás vonatkozási időpontjában. Az 575/2013/EU rendele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t 57. cikkében foglalt kivételek figyelembevételével.</w:t>
            </w:r>
          </w:p>
          <w:p w14:paraId="3A9FEB22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magában foglalja a saját részvényekhez kapcsolódó ázsiót.</w:t>
            </w:r>
          </w:p>
        </w:tc>
      </w:tr>
      <w:tr w:rsidR="00356888" w:rsidRPr="008853AD" w14:paraId="683CFB1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B029A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33.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B6C8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Közvetlen részesedések elsődleges alapvető (AT1) tőkeinstrumentumokban</w:t>
            </w:r>
          </w:p>
          <w:p w14:paraId="27BF1DA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rendelet 9. cikke (2) </w:t>
            </w:r>
            <w:r w:rsidRPr="008853AD">
              <w:rPr>
                <w:rFonts w:ascii="Times New Roman" w:hAnsi="Times New Roman"/>
                <w:bCs/>
                <w:szCs w:val="22"/>
              </w:rPr>
              <w:t>bekezdésének c) pontja.</w:t>
            </w:r>
          </w:p>
          <w:p w14:paraId="69E0983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56. cikkének a) pontja.</w:t>
            </w:r>
          </w:p>
        </w:tc>
      </w:tr>
      <w:tr w:rsidR="00356888" w:rsidRPr="008853AD" w14:paraId="3BB5868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67A155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34.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D4D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Közvetett részesedések elsődleges alapvető (AT1) tőkeinstrumentumokban</w:t>
            </w:r>
          </w:p>
          <w:p w14:paraId="13410A3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413224A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575/2013/EU rendelet 56. </w:t>
            </w:r>
            <w:r w:rsidRPr="008853AD">
              <w:rPr>
                <w:rFonts w:ascii="Times New Roman" w:hAnsi="Times New Roman"/>
                <w:bCs/>
                <w:szCs w:val="22"/>
              </w:rPr>
              <w:t>cikkének a) pontja.</w:t>
            </w:r>
          </w:p>
        </w:tc>
      </w:tr>
      <w:tr w:rsidR="00356888" w:rsidRPr="008853AD" w14:paraId="6C592A0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DF754D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35.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ADD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Szintetikus részesedések elsődleges alapvető (AT1) tőkeinstrumentumokban</w:t>
            </w:r>
          </w:p>
          <w:p w14:paraId="1AE02D5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2537E50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56. cikkének a) pontja.</w:t>
            </w:r>
          </w:p>
        </w:tc>
      </w:tr>
      <w:tr w:rsidR="00356888" w:rsidRPr="008853AD" w14:paraId="31A83B8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3AD75F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3DD5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Pénzügyi ágazatbeli olyan szerveze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tek által kibocsátott elsődleges alapvető (AT1) tőkeinstrumentumok, amelyekben az intézmény nem rendelkezik jelentős részesedéssel</w:t>
            </w:r>
          </w:p>
          <w:p w14:paraId="639F7DE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78AD768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56. cikkének c) pontja.</w:t>
            </w:r>
          </w:p>
        </w:tc>
      </w:tr>
      <w:tr w:rsidR="00356888" w:rsidRPr="008853AD" w14:paraId="5745402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E00B63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EFD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Pénzügyi ágazatbeli olyan szervezetek által kibocsátott elsődleges alapvető (AT1) tőkeinstrumentumok, amelyekben az intézmény jelentős részesedéssel rendelkezik</w:t>
            </w:r>
          </w:p>
          <w:p w14:paraId="0E0DE9D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Az (EU) 2019/2033 rendelet 9. cikke (2) bekezdésének c) pontja.</w:t>
            </w:r>
          </w:p>
          <w:p w14:paraId="46D0E74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56. cik</w:t>
            </w:r>
            <w:r w:rsidRPr="008853AD">
              <w:rPr>
                <w:rFonts w:ascii="Times New Roman" w:hAnsi="Times New Roman"/>
                <w:bCs/>
                <w:szCs w:val="22"/>
              </w:rPr>
              <w:t>kének d) pontja.</w:t>
            </w:r>
          </w:p>
        </w:tc>
      </w:tr>
      <w:tr w:rsidR="00356888" w:rsidRPr="008853AD" w14:paraId="67119DB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6BBA65D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38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F11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levonások</w:t>
            </w:r>
          </w:p>
          <w:p w14:paraId="24D3A94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56. cikke szerinti összes olyan egyéb levonás összege, amely nem szerepel a fenti sorokban.</w:t>
            </w:r>
          </w:p>
        </w:tc>
      </w:tr>
      <w:tr w:rsidR="00356888" w:rsidRPr="008853AD" w14:paraId="0FE6C4B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9DBA981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39.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28CA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Kiegészítő alapvető tőke (AT1): egyéb tőkeelemek, levonások és kiigazítások</w:t>
            </w:r>
          </w:p>
          <w:p w14:paraId="5BDAFE3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</w:t>
            </w:r>
            <w:r w:rsidRPr="008853AD">
              <w:rPr>
                <w:rFonts w:ascii="Times New Roman" w:hAnsi="Times New Roman"/>
                <w:bCs/>
                <w:szCs w:val="22"/>
              </w:rPr>
              <w:t>ző tételek összegét tartalmazza, amennyiben alkalmazandó:</w:t>
            </w:r>
          </w:p>
          <w:p w14:paraId="7B57877A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Szerzett jogok alapján figyelembe vett AT1 tőkeinstrumentumok miatti átmeneti kiigazítások (az 575/2013/EU rendelet 483. cikkének (4) és (5) bekezdése, 484–487. cikke, valamint 489. és 491. cikke)</w:t>
            </w:r>
            <w:r w:rsidRPr="008853AD">
              <w:rPr>
                <w:rFonts w:ascii="Times New Roman" w:hAnsi="Times New Roman"/>
                <w:bCs/>
              </w:rPr>
              <w:t>.</w:t>
            </w:r>
          </w:p>
          <w:p w14:paraId="67F54B0E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Leányvállalatok által kibocsátott, AT1 tőkében megjelenített instrumentumok (az 575/2013/EU rendelet 83., 85. és 86. cikke): Leányvállalatok alapvető tőkébe beszámítható, a konszolidált AT1 tőkében szereplő összes tőkeelemének összege, </w:t>
            </w:r>
            <w:r w:rsidRPr="008853AD">
              <w:rPr>
                <w:rFonts w:ascii="Times New Roman" w:hAnsi="Times New Roman"/>
                <w:bCs/>
              </w:rPr>
              <w:t>beleértve a különleges célú gazdasági egységek által kibocsátott tőkét is (az 575/2013/EU rendelet 83. cikke).</w:t>
            </w:r>
          </w:p>
          <w:p w14:paraId="484D3C1D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leányvállalatok által kibocsátott instrumentumok AT1 tőkében való további megjelenítése miatti átmeneti kiigazítások (az 575/2013/EU rendelet</w:t>
            </w:r>
            <w:r w:rsidRPr="008853AD">
              <w:rPr>
                <w:rFonts w:ascii="Times New Roman" w:hAnsi="Times New Roman"/>
                <w:bCs/>
              </w:rPr>
              <w:t xml:space="preserve"> 480. cikke), az alapvető tőkébe beszámítható, a konszolidált AT1 tőkében szereplő tőkeelemeknek az átmeneti rendelkezések miatti kiigazításai.</w:t>
            </w:r>
          </w:p>
          <w:p w14:paraId="5608112E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Az AT1 tőke egyéb átmeneti kiigazításai (az 575/2013/EU rendelet 472., 473a., 474., 475., 478. és 481. cikke):</w:t>
            </w:r>
            <w:r w:rsidRPr="008853AD">
              <w:rPr>
                <w:rFonts w:ascii="Times New Roman" w:hAnsi="Times New Roman"/>
                <w:bCs/>
              </w:rPr>
              <w:t xml:space="preserve"> a levonásoknak az átmeneti rendelkezések miatti kiigazításai.</w:t>
            </w:r>
          </w:p>
          <w:p w14:paraId="0E87FA17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Az AT1 tőkeelemekből az AT1 tőkét meghaladó többletlevonások, amelyeket az 575/2013/EU rendelet 36. cikke (1) bekezdése j) pontjának megfelelően az elsődleges alapvető tőkéből kell levonni: a</w:t>
            </w:r>
            <w:r w:rsidRPr="008853AD">
              <w:rPr>
                <w:rFonts w:ascii="Times New Roman" w:hAnsi="Times New Roman"/>
                <w:bCs/>
              </w:rPr>
              <w:t xml:space="preserve"> kiegészítő alapvető tőke nem lehet negatív, de előfordulhat, hogy az AT1 tőkéből történő levonások meghaladják a rendelkezésre álló AT1 tőkeelemek összegét. Ilyen esetben ez a tétel a 28. sorban feltüntetett összeg nullára növeléséhez szükséges összeget j</w:t>
            </w:r>
            <w:r w:rsidRPr="008853AD">
              <w:rPr>
                <w:rFonts w:ascii="Times New Roman" w:hAnsi="Times New Roman"/>
                <w:bCs/>
              </w:rPr>
              <w:t>elenti, és egyenlő az AT1 tőkeelemekből az AT1 tőkét meghaladó, más levonásokkal együtt a 38. sorban feltüntetett többletlevonások fordított előjelű összegével.</w:t>
            </w:r>
          </w:p>
          <w:p w14:paraId="1191F8CF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AT1 tőkeelemek vagy levonások AT1 elemekből, amelyek nem sorolhatók a 29–38. sorok egyi</w:t>
            </w:r>
            <w:r w:rsidRPr="008853AD">
              <w:rPr>
                <w:rFonts w:ascii="Times New Roman" w:hAnsi="Times New Roman"/>
                <w:bCs/>
              </w:rPr>
              <w:t>kébe sem.</w:t>
            </w:r>
          </w:p>
          <w:p w14:paraId="2802D65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nem használható az (EU) 2019/2033 rendelet vagy az 575/2013/EU rendelet hatálya alá nem tartozó tőkeelemeknek vagy levonásoknak a tőkemegfelelési mutató kiszámítása során történő figyelembevételére.</w:t>
            </w:r>
          </w:p>
        </w:tc>
      </w:tr>
      <w:tr w:rsidR="00356888" w:rsidRPr="008853AD" w14:paraId="54B804C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3148D6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40.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1466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TŐKE (TIER 2, T2 TŐKE)</w:t>
            </w:r>
          </w:p>
          <w:p w14:paraId="087636F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(2) bekezdése.</w:t>
            </w:r>
          </w:p>
          <w:p w14:paraId="3A280E0E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71. cikke.</w:t>
            </w:r>
          </w:p>
          <w:p w14:paraId="2DB004E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41–43. és az 50. sor teljes összegét kell megadni.</w:t>
            </w:r>
          </w:p>
        </w:tc>
      </w:tr>
      <w:tr w:rsidR="00356888" w:rsidRPr="008853AD" w14:paraId="0253920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29B31D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41.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A54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befizetett, közvetlenül kibocsátott tőkeinstrumentumok</w:t>
            </w:r>
          </w:p>
          <w:p w14:paraId="26D5854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rendelet 9. </w:t>
            </w:r>
            <w:r w:rsidRPr="008853AD">
              <w:rPr>
                <w:rFonts w:ascii="Times New Roman" w:hAnsi="Times New Roman"/>
                <w:bCs/>
                <w:szCs w:val="22"/>
              </w:rPr>
              <w:t>cikke (1) bekezdésének i. pontja.</w:t>
            </w:r>
          </w:p>
          <w:p w14:paraId="68662777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62. cikkének a) pontja, valamint 63. és 65. cikke.</w:t>
            </w:r>
          </w:p>
          <w:p w14:paraId="3204EF0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nem foglalhatja magában az instrumentumokhoz kapcsolódó ázsiót.</w:t>
            </w:r>
          </w:p>
        </w:tc>
      </w:tr>
      <w:tr w:rsidR="00356888" w:rsidRPr="008853AD" w14:paraId="11D6B77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B14E06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42.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46B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25333BB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 xml:space="preserve">Az (EU) 2019/2033 rendelet 9. cikke (1) </w:t>
            </w:r>
            <w:r w:rsidRPr="008853AD">
              <w:rPr>
                <w:rFonts w:ascii="Times New Roman" w:hAnsi="Times New Roman"/>
                <w:bCs/>
                <w:szCs w:val="22"/>
              </w:rPr>
              <w:t>bekezdésének i. pontja.</w:t>
            </w:r>
          </w:p>
          <w:p w14:paraId="3986B5C5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62. cikkének b) pontja és 65. cikke.</w:t>
            </w:r>
          </w:p>
          <w:p w14:paraId="7FF81BAE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6C4AEF99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ebben az elemben feltüntetendő érték a befizetett tőkeinstrumentumokhoz kapcsoló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dó rész.</w:t>
            </w:r>
          </w:p>
        </w:tc>
      </w:tr>
      <w:tr w:rsidR="00356888" w:rsidRPr="008853AD" w14:paraId="3B424FF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54A40C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43.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E51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JÁRULÉKOS TŐKÉBŐL (TIER 2, T2) VALÓ LEVONÁSOK ÖSSZESEN</w:t>
            </w:r>
          </w:p>
          <w:p w14:paraId="1CF6986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66. cikke.</w:t>
            </w:r>
          </w:p>
        </w:tc>
      </w:tr>
      <w:tr w:rsidR="00356888" w:rsidRPr="008853AD" w14:paraId="7D10328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A034DD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FC0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Saját T2 tőkeinstrumentumok</w:t>
            </w:r>
          </w:p>
          <w:p w14:paraId="584AB15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44817EB7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575/2013/EU rendelet 63. cikke b)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pontjának i. alpontja, 66. cikkének a) pontja és 67. cikke.</w:t>
            </w:r>
          </w:p>
          <w:p w14:paraId="36E709D9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adatot szolgáltató intézmény vagy csoport saját T2 tőkeinstrumentumai az adatszolgáltatás vonatkozási időpontjában. Az 575/2013/EU rendelet 67. cikkében foglalt kivételek figyelembevételével.</w:t>
            </w:r>
          </w:p>
          <w:p w14:paraId="58719BBA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E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bben a sorban nem tüntethetők fel a „Figyelembe nem vehető tőkeinstrumentum”-ként szerepeltetett részvények.</w:t>
            </w:r>
          </w:p>
          <w:p w14:paraId="19701CDE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magában foglalja a saját részvényekhez kapcsolódó ázsiót.</w:t>
            </w:r>
          </w:p>
        </w:tc>
      </w:tr>
      <w:tr w:rsidR="00356888" w:rsidRPr="008853AD" w14:paraId="223BE75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16E987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45.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F52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Közvetlen részesedések T2 tőkeinstrumentumokban</w:t>
            </w:r>
          </w:p>
          <w:p w14:paraId="2358D6FA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3/EU rendelet 63. cikkének b) pontja, 66. cikkének a) pontja és 67. cikke.</w:t>
            </w:r>
          </w:p>
        </w:tc>
      </w:tr>
      <w:tr w:rsidR="00356888" w:rsidRPr="008853AD" w14:paraId="270898F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F261EF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46.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ABF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Közvetett részesedések T2 tőkeinstrumentumokban</w:t>
            </w:r>
          </w:p>
          <w:p w14:paraId="2A98127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4. cikke (1) bekezdésének 114. pontja, 63. cikkének b) pontja, 66. cikkének a) pontja és 67. cikke.</w:t>
            </w:r>
          </w:p>
        </w:tc>
      </w:tr>
      <w:tr w:rsidR="00356888" w:rsidRPr="008853AD" w14:paraId="3B6C50D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FE06D9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47.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B5A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Szintetikus részesedések T2 tőkeinstrumentumokban</w:t>
            </w:r>
          </w:p>
          <w:p w14:paraId="27BDE7A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4. cikke (1) bekezdésének 126. pontja, 63. cikkének b) pontja, 66. cikkének a) pontja és 67. cikke.</w:t>
            </w:r>
          </w:p>
        </w:tc>
      </w:tr>
      <w:tr w:rsidR="00356888" w:rsidRPr="008853AD" w14:paraId="24F9FE8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5667F9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48.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30E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Pénzügyi ágazatbeli olyan szervezetek által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kibocsátott T2 tőkeinstrumentumok, amelyekben az intézmény nem rendelkezik jelentős részesedéssel</w:t>
            </w:r>
          </w:p>
          <w:p w14:paraId="3B73E93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68C692C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66. cikkének c) pontja.</w:t>
            </w:r>
          </w:p>
        </w:tc>
      </w:tr>
      <w:tr w:rsidR="00356888" w:rsidRPr="008853AD" w14:paraId="1947021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5CB1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49.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39F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Pénzügyi ágazatbeli olyan szervezetek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által kibocsátott T2 tőkeinstrumentumok, amelyekben az intézmény jelentős részesedéssel rendelkezik</w:t>
            </w:r>
          </w:p>
          <w:p w14:paraId="4D54FE23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4. cikke (1) bekezdésének 27. pontja, 66. cikkének d) pontja, valamint 68., 69. és 79. cikke.</w:t>
            </w:r>
          </w:p>
          <w:p w14:paraId="50A65CE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befektetési vállalkozásnak az 575/2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013/EU rendelet 4. cikke (1) bekezdésének 27. pontjában meghatározott pénzügyi ágazatbeli olyan szervezetek által kibocsátott T2 tőkeinstrumentumokban lévő részesedést, amelyekben a befektetési vállalkozás jelentős részesedéssel rendelkezik, teljes összegb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en le kell vonni.</w:t>
            </w:r>
          </w:p>
        </w:tc>
      </w:tr>
      <w:tr w:rsidR="00356888" w:rsidRPr="008853AD" w14:paraId="789E6C6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2886C5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50.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71FE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tőke (Tier 2, T2): egyéb tőkeelemek, levonások és kiigazítások</w:t>
            </w:r>
          </w:p>
          <w:p w14:paraId="3F20208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következő tételek összegét tartalmazza, amennyiben alkalmazandó:</w:t>
            </w:r>
          </w:p>
          <w:p w14:paraId="4E8C0686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Szerzett jogok alapján figyelembe vett T2 tőkeinstrumentumok miatti </w:t>
            </w:r>
            <w:r w:rsidRPr="008853AD">
              <w:rPr>
                <w:rFonts w:ascii="Times New Roman" w:hAnsi="Times New Roman"/>
                <w:bCs/>
              </w:rPr>
              <w:t>átmeneti kiigazítások (az 575/2013/EU rendelet 483. cikkének (6) és (7) bekezdése, 484., 486., 488., 490. és 491. cikke).</w:t>
            </w:r>
          </w:p>
          <w:p w14:paraId="6CE320B6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Leányvállalatok által kibocsátott, T2 tőkében megjelenített instrumentumok (az 575/2013/EU rendelet 83., 87. és 88. cikke): leányvál</w:t>
            </w:r>
            <w:r w:rsidRPr="008853AD">
              <w:rPr>
                <w:rFonts w:ascii="Times New Roman" w:hAnsi="Times New Roman"/>
                <w:bCs/>
              </w:rPr>
              <w:t>lalatok szavatolótőkébe beszámítható, a konszolidált T2 tőkében szereplő összes tőkeelemének összege, beleértve a különleges célú gazdasági egységek által kibocsátott, a szavatolótőkébe beszámítható T2 tőkét is (az 575/2013/EU rendelet 83. cikke).</w:t>
            </w:r>
          </w:p>
          <w:p w14:paraId="606AE4BF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leán</w:t>
            </w:r>
            <w:r w:rsidRPr="008853AD">
              <w:rPr>
                <w:rFonts w:ascii="Times New Roman" w:hAnsi="Times New Roman"/>
                <w:bCs/>
              </w:rPr>
              <w:t>yvállalatok által kibocsátott instrumentumok T2 tőkében való további megjelenítése miatti átmeneti kiigazítások (az 575/2013/EU rendelet 480. cikke). A szavatolótőkébe beszámítható tőkeelemeknek a konszolidált T2 tőke részét képező összegében az átmeneti r</w:t>
            </w:r>
            <w:r w:rsidRPr="008853AD">
              <w:rPr>
                <w:rFonts w:ascii="Times New Roman" w:hAnsi="Times New Roman"/>
                <w:bCs/>
              </w:rPr>
              <w:t>endelkezések miatt végrehajtott kiigazítások.</w:t>
            </w:r>
          </w:p>
          <w:p w14:paraId="7FD64C53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T2 tőke egyéb átmeneti kiigazításai (az 575/2013/EU rendelet 472., 473a., 476., 477., 478. és 481. cikke): a T2 tőkéből történő levonásokban az átmeneti rendelkezések miatt végrehajtott kiigazítások.</w:t>
            </w:r>
          </w:p>
          <w:p w14:paraId="5B3AFD4B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T2</w:t>
            </w:r>
            <w:r w:rsidRPr="008853AD">
              <w:rPr>
                <w:rFonts w:ascii="Times New Roman" w:hAnsi="Times New Roman"/>
                <w:bCs/>
              </w:rPr>
              <w:t xml:space="preserve"> tőkeelemekből a T2 tőkét meghaladó többletlevonások, amelyeket az 575/2013/EU rendelet 56. cikke e) pontjának megfelelően a kiegészítő alapvető tőkéből kell levonni: a T2 tőke nem lehet negatív, de előfordulhat, hogy a T2 tőkéből történő levonások meghala</w:t>
            </w:r>
            <w:r w:rsidRPr="008853AD">
              <w:rPr>
                <w:rFonts w:ascii="Times New Roman" w:hAnsi="Times New Roman"/>
                <w:bCs/>
              </w:rPr>
              <w:t>dják a rendelkezésre álló T2 tőkeelemek összegét. Ilyen esetekben ez a tétel a 40. sorban feltüntetett összeg nullára növeléséhez szükséges összeget jelenti.</w:t>
            </w:r>
          </w:p>
          <w:p w14:paraId="01140AE1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Egyéb T2 tőkeelemek vagy levonások T2 elemekből, amelyek nem sorolhatók a 41–49. sorok egyikébe </w:t>
            </w:r>
            <w:r w:rsidRPr="008853AD">
              <w:rPr>
                <w:rFonts w:ascii="Times New Roman" w:hAnsi="Times New Roman"/>
                <w:bCs/>
              </w:rPr>
              <w:t>sem.</w:t>
            </w:r>
          </w:p>
          <w:p w14:paraId="78F20B0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nem használható az (EU) 2019/2033 rendelet vagy az 575/2013/EU rendelet hatálya alá nem tartozó tőkeelemeknek vagy levonásoknak a tőkemegfelelési mutató kiszámítása során történő figyelembevételére.</w:t>
            </w:r>
          </w:p>
        </w:tc>
      </w:tr>
    </w:tbl>
    <w:p w14:paraId="70B194D7" w14:textId="77777777" w:rsidR="00356888" w:rsidRPr="008853AD" w:rsidRDefault="00356888">
      <w:pPr>
        <w:spacing w:before="120" w:after="120"/>
        <w:jc w:val="both"/>
        <w:rPr>
          <w:rFonts w:ascii="Times New Roman" w:hAnsi="Times New Roman" w:cs="Times New Roman"/>
          <w:bCs/>
          <w:sz w:val="24"/>
        </w:rPr>
      </w:pPr>
    </w:p>
    <w:p w14:paraId="67A7EBD2" w14:textId="77777777" w:rsidR="00356888" w:rsidRPr="008853AD" w:rsidRDefault="008853AD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8853AD">
        <w:rPr>
          <w:rFonts w:ascii="Times New Roman" w:hAnsi="Times New Roman"/>
          <w:b/>
          <w:bCs/>
          <w:sz w:val="24"/>
        </w:rPr>
        <w:t xml:space="preserve">EU I CC1.02 tábla – A </w:t>
      </w:r>
      <w:r w:rsidRPr="008853AD">
        <w:rPr>
          <w:rFonts w:ascii="Times New Roman" w:hAnsi="Times New Roman"/>
          <w:b/>
          <w:bCs/>
          <w:sz w:val="24"/>
        </w:rPr>
        <w:t>szabályozói szavatolótőke összetétele (kis méretű és össze nem kapcsolt befektetési vállalkozások)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356888" w:rsidRPr="008853AD" w14:paraId="4370D9D3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300ED0E6" w14:textId="77777777" w:rsidR="00356888" w:rsidRPr="008853AD" w:rsidRDefault="008853AD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Jogszabályi hivatkozások és útmutató</w:t>
            </w:r>
          </w:p>
        </w:tc>
      </w:tr>
      <w:tr w:rsidR="00356888" w:rsidRPr="008853AD" w14:paraId="0C9BE61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5B615E6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Sor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41704F3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Jogszabályi hivatkozások és útmutató</w:t>
            </w:r>
          </w:p>
        </w:tc>
      </w:tr>
      <w:tr w:rsidR="00356888" w:rsidRPr="008853AD" w14:paraId="34728EE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3D6FCE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1.</w:t>
            </w:r>
          </w:p>
        </w:tc>
        <w:tc>
          <w:tcPr>
            <w:tcW w:w="7683" w:type="dxa"/>
            <w:shd w:val="clear" w:color="auto" w:fill="auto"/>
          </w:tcPr>
          <w:p w14:paraId="79B065F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Szavatolótőke</w:t>
            </w:r>
          </w:p>
          <w:p w14:paraId="7F444B8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rendelet 9. cikkének (1) </w:t>
            </w:r>
            <w:r w:rsidRPr="008853AD">
              <w:rPr>
                <w:rFonts w:ascii="Times New Roman" w:hAnsi="Times New Roman"/>
                <w:bCs/>
                <w:szCs w:val="22"/>
              </w:rPr>
              <w:t>bekezdése.</w:t>
            </w:r>
          </w:p>
          <w:p w14:paraId="7A119C74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Egy befektetési vállalkozás szavatolótőkéje elsődleges alapvető tőkéjének, kiegészítő alapvető tőkéjének és járulékos tőkéjének összegéből áll.</w:t>
            </w:r>
          </w:p>
          <w:p w14:paraId="10AC137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2. és a 25. sor teljes összegét kell megadni.</w:t>
            </w:r>
          </w:p>
        </w:tc>
      </w:tr>
      <w:tr w:rsidR="00356888" w:rsidRPr="008853AD" w14:paraId="25E93C5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9E1C86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2.</w:t>
            </w:r>
          </w:p>
        </w:tc>
        <w:tc>
          <w:tcPr>
            <w:tcW w:w="7683" w:type="dxa"/>
            <w:shd w:val="clear" w:color="auto" w:fill="auto"/>
          </w:tcPr>
          <w:p w14:paraId="55D1FAF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Alapvető tőke (Tier 1 tőke)</w:t>
            </w:r>
          </w:p>
          <w:p w14:paraId="7396F1D5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alapvető tőke 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elsődleges alapvető tőke és a kiegészítő alapvető tőke összege.</w:t>
            </w:r>
          </w:p>
          <w:p w14:paraId="00C8797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3. és a 20. sor teljes összegét kell megadni.</w:t>
            </w:r>
          </w:p>
        </w:tc>
      </w:tr>
      <w:tr w:rsidR="00356888" w:rsidRPr="008853AD" w14:paraId="1B92ED3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FBC116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3.</w:t>
            </w:r>
          </w:p>
        </w:tc>
        <w:tc>
          <w:tcPr>
            <w:tcW w:w="7683" w:type="dxa"/>
            <w:shd w:val="clear" w:color="auto" w:fill="auto"/>
          </w:tcPr>
          <w:p w14:paraId="6CF5365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Elsődleges alapvető tőke (CET1)</w:t>
            </w:r>
          </w:p>
          <w:p w14:paraId="1632583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bekezdése.</w:t>
            </w:r>
          </w:p>
          <w:p w14:paraId="246FCB4B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50. cikke.</w:t>
            </w:r>
          </w:p>
          <w:p w14:paraId="6FD6B96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 4–11. és a 19. </w:t>
            </w:r>
            <w:r w:rsidRPr="008853AD">
              <w:rPr>
                <w:rFonts w:ascii="Times New Roman" w:hAnsi="Times New Roman"/>
                <w:bCs/>
                <w:szCs w:val="22"/>
              </w:rPr>
              <w:t>sorok teljes összegét kell megadni.</w:t>
            </w:r>
          </w:p>
        </w:tc>
      </w:tr>
      <w:tr w:rsidR="00356888" w:rsidRPr="008853AD" w14:paraId="26DF9FF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EA2761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4.</w:t>
            </w:r>
          </w:p>
        </w:tc>
        <w:tc>
          <w:tcPr>
            <w:tcW w:w="7683" w:type="dxa"/>
            <w:shd w:val="clear" w:color="auto" w:fill="auto"/>
          </w:tcPr>
          <w:p w14:paraId="69997C3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 tőkeinstrumentumok</w:t>
            </w:r>
          </w:p>
          <w:p w14:paraId="4040246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Az (EU) 2019/2033 rendelet 9. cikke (1) bekezdésének i. pontja.</w:t>
            </w:r>
          </w:p>
          <w:p w14:paraId="77C04625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a) pontja és 27–31. cikke.</w:t>
            </w:r>
          </w:p>
          <w:p w14:paraId="26500064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Magában foglalja a kölcsönö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s biztosítók, szövetkezeti társaságok és hasonló intézmények tőkeinstrumentumait (az 575/2013/EU rendelet 27. és 29. cikke).</w:t>
            </w:r>
          </w:p>
          <w:p w14:paraId="662BB50C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Nem tartalmazza az instrumentumokhoz kapcsolódó ázsiót.</w:t>
            </w:r>
          </w:p>
          <w:p w14:paraId="35CD7A75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 szükséghelyzetekben állami hatóságok által lejegyzett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tőkeinstrumentumokat akkor tartalmazza, ha az 575/2013/EU rendelet 31. cikkében foglalt minden feltétel teljesül.</w:t>
            </w:r>
          </w:p>
        </w:tc>
      </w:tr>
      <w:tr w:rsidR="00356888" w:rsidRPr="008853AD" w14:paraId="1CEA3CE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C0888D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5</w:t>
            </w:r>
          </w:p>
        </w:tc>
        <w:tc>
          <w:tcPr>
            <w:tcW w:w="7683" w:type="dxa"/>
            <w:shd w:val="clear" w:color="auto" w:fill="auto"/>
          </w:tcPr>
          <w:p w14:paraId="1E759BB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20E34A3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4AA3FE0C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26. cikke (1) bekezdésének b) pontja.</w:t>
            </w:r>
          </w:p>
          <w:p w14:paraId="1055DDD1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ó jelentése egyezik az alkalmazandó számviteli szabályozás szerinti jelentéssel.</w:t>
            </w:r>
          </w:p>
          <w:p w14:paraId="492B4B0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befizetett tőkeinstrumentumokhoz kapcsolódó rész.</w:t>
            </w:r>
          </w:p>
        </w:tc>
      </w:tr>
      <w:tr w:rsidR="00356888" w:rsidRPr="008853AD" w14:paraId="14FAD31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12F89A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6.</w:t>
            </w:r>
          </w:p>
        </w:tc>
        <w:tc>
          <w:tcPr>
            <w:tcW w:w="7683" w:type="dxa"/>
            <w:shd w:val="clear" w:color="auto" w:fill="auto"/>
          </w:tcPr>
          <w:p w14:paraId="77C1227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Eredménytartalék</w:t>
            </w:r>
          </w:p>
          <w:p w14:paraId="4754E62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</w:t>
            </w:r>
            <w:r w:rsidRPr="008853AD">
              <w:rPr>
                <w:rFonts w:ascii="Times New Roman" w:hAnsi="Times New Roman"/>
                <w:bCs/>
                <w:szCs w:val="22"/>
              </w:rPr>
              <w:t>.</w:t>
            </w:r>
          </w:p>
          <w:p w14:paraId="1F0F6BB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26. cikke (1) bekezdésének c) pontja.</w:t>
            </w:r>
          </w:p>
          <w:p w14:paraId="2DA4591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eredménytartalék az előző évi eredménytartalékot és a figyelembe vehető évközi vagy év végi nyereséget foglalja magában.</w:t>
            </w:r>
          </w:p>
        </w:tc>
      </w:tr>
      <w:tr w:rsidR="00356888" w:rsidRPr="008853AD" w14:paraId="621341B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58136B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7.</w:t>
            </w:r>
          </w:p>
        </w:tc>
        <w:tc>
          <w:tcPr>
            <w:tcW w:w="7683" w:type="dxa"/>
            <w:shd w:val="clear" w:color="auto" w:fill="auto"/>
          </w:tcPr>
          <w:p w14:paraId="791C824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Halmozott egyéb átfogó jövedelem</w:t>
            </w:r>
          </w:p>
          <w:p w14:paraId="55C018B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(EU) 2019/2033 </w:t>
            </w:r>
            <w:r w:rsidRPr="008853AD">
              <w:rPr>
                <w:rFonts w:ascii="Times New Roman" w:hAnsi="Times New Roman"/>
                <w:bCs/>
                <w:szCs w:val="22"/>
              </w:rPr>
              <w:t>rendelet 9. cikke (1) bekezdésének i. pontja.</w:t>
            </w:r>
          </w:p>
          <w:p w14:paraId="45803237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26. cikke (1) bekezdésének d) pontja.</w:t>
            </w:r>
          </w:p>
        </w:tc>
      </w:tr>
      <w:tr w:rsidR="00356888" w:rsidRPr="008853AD" w14:paraId="7434559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7CE071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8.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55F2DAD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Egyéb tartalékok</w:t>
            </w:r>
          </w:p>
          <w:p w14:paraId="60C3447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3E27B1C6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575/2013/EU rendelet 4. cikke (1) bekezdésének 117.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pontja és 26. cikke (1) bekezdésének e) pontja.</w:t>
            </w:r>
          </w:p>
          <w:p w14:paraId="13DBD98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a kiszámítás időpontjában előre látható adóterhek levonásával kapott összeg.</w:t>
            </w:r>
          </w:p>
        </w:tc>
      </w:tr>
      <w:tr w:rsidR="00356888" w:rsidRPr="008853AD" w14:paraId="7C7B8B9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6C4B4B6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9.</w:t>
            </w:r>
          </w:p>
        </w:tc>
        <w:tc>
          <w:tcPr>
            <w:tcW w:w="7683" w:type="dxa"/>
            <w:shd w:val="clear" w:color="auto" w:fill="auto"/>
          </w:tcPr>
          <w:p w14:paraId="135573C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Prudenciális szűrők miatt végrehajtott kiigazítások az elsődleges alapvető tőkében (CET1)</w:t>
            </w:r>
          </w:p>
          <w:p w14:paraId="50473B9C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(EU) 2019/2033 rendelet 9. cikke (1) bekezdésének i. pontja.</w:t>
            </w:r>
          </w:p>
          <w:p w14:paraId="57C6B0D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32–35. cikke</w:t>
            </w:r>
          </w:p>
        </w:tc>
      </w:tr>
      <w:tr w:rsidR="00356888" w:rsidRPr="008853AD" w14:paraId="24391E0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AA6E504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10.</w:t>
            </w:r>
          </w:p>
        </w:tc>
        <w:tc>
          <w:tcPr>
            <w:tcW w:w="7683" w:type="dxa"/>
            <w:shd w:val="clear" w:color="auto" w:fill="auto"/>
          </w:tcPr>
          <w:p w14:paraId="5FAC971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Egyéb pénzeszközök</w:t>
            </w:r>
          </w:p>
          <w:p w14:paraId="7B2DB9A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(4) bekezdése.</w:t>
            </w:r>
          </w:p>
        </w:tc>
      </w:tr>
      <w:tr w:rsidR="00356888" w:rsidRPr="008853AD" w14:paraId="4D2B389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E40E574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11.</w:t>
            </w:r>
          </w:p>
        </w:tc>
        <w:tc>
          <w:tcPr>
            <w:tcW w:w="7683" w:type="dxa"/>
            <w:shd w:val="clear" w:color="auto" w:fill="auto"/>
          </w:tcPr>
          <w:p w14:paraId="5AAF6BD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AZ ELSŐDLEGES ALAPVETŐ TŐKÉBŐL VALÓ LEVONÁSOK ÖSSZESEN</w:t>
            </w:r>
          </w:p>
          <w:p w14:paraId="16C98CC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 12–18. sor </w:t>
            </w:r>
            <w:r w:rsidRPr="008853AD">
              <w:rPr>
                <w:rFonts w:ascii="Times New Roman" w:hAnsi="Times New Roman"/>
                <w:bCs/>
                <w:szCs w:val="22"/>
              </w:rPr>
              <w:t>teljes összegét kell megadni.</w:t>
            </w:r>
          </w:p>
        </w:tc>
      </w:tr>
      <w:tr w:rsidR="00356888" w:rsidRPr="008853AD" w14:paraId="7BB05A8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26C17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12.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A61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Folyó üzleti év veszteségei</w:t>
            </w:r>
          </w:p>
          <w:p w14:paraId="356841C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36. cikke (1) bekezdésének a) pontja.</w:t>
            </w:r>
          </w:p>
        </w:tc>
      </w:tr>
      <w:tr w:rsidR="00356888" w:rsidRPr="008853AD" w14:paraId="4FA5E42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8D510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13.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095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Cégérték (goodwill)</w:t>
            </w:r>
          </w:p>
          <w:p w14:paraId="55F5A80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Az (EU) 2019/2033 rendelet 9. cikke (1) bekezdésének i. pontja.</w:t>
            </w:r>
          </w:p>
          <w:p w14:paraId="4C3CB2D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575/2013/EU rendelet 4.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cikke (1) bekezdésének 113. pontja, 36. cikke (1) bekezdésének b) pontja és 37. cikke.</w:t>
            </w:r>
          </w:p>
        </w:tc>
      </w:tr>
      <w:tr w:rsidR="00356888" w:rsidRPr="008853AD" w14:paraId="353E7FB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F9F2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14.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8E72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immateriális javak</w:t>
            </w:r>
          </w:p>
          <w:p w14:paraId="0AC9343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63E4E27E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575/2013/EU rendelet 4. cikke (1) bekezdésének 115. pontja, 36.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cikke (1) bekezdésének b) pontja és 37. cikkének a) pontja.</w:t>
            </w:r>
          </w:p>
          <w:p w14:paraId="5ED1E4A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egyéb immateriális javak értéke az alkalmazandó számviteli szabályozás szerint immateriális javaknak minősülő eszközök értéke, csökkentve ugyancsak az alkalmazandó számviteli szabályozás szerin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ti cégértékkel.</w:t>
            </w:r>
          </w:p>
        </w:tc>
      </w:tr>
      <w:tr w:rsidR="00356888" w:rsidRPr="008853AD" w14:paraId="25BC53A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6522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15.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B086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Jövőbeli nyereségtől függően érvényesíthető, nem átmeneti különbözetből eredő halasztott adókövetelések kapcsolódó adókötelezettségek nélkül</w:t>
            </w:r>
          </w:p>
          <w:p w14:paraId="64FEF80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a) pontja.</w:t>
            </w:r>
          </w:p>
          <w:p w14:paraId="247E8B8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</w:t>
            </w:r>
            <w:r w:rsidRPr="008853AD">
              <w:rPr>
                <w:rFonts w:ascii="Times New Roman" w:hAnsi="Times New Roman"/>
                <w:bCs/>
                <w:szCs w:val="22"/>
              </w:rPr>
              <w:t>. cikke (1) bekezdésének c) pontja.</w:t>
            </w:r>
          </w:p>
        </w:tc>
      </w:tr>
      <w:tr w:rsidR="00356888" w:rsidRPr="008853AD" w14:paraId="4600D17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E0EBD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16.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018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pénzügyi ágazaton kívüli befolyásoló részesedés, amely meghaladja a szavatolótőke 15 %-át</w:t>
            </w:r>
          </w:p>
          <w:p w14:paraId="117B65E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10. cikke (1) bekezdésének a) pontja.</w:t>
            </w:r>
          </w:p>
        </w:tc>
      </w:tr>
      <w:tr w:rsidR="00356888" w:rsidRPr="008853AD" w14:paraId="3DF88A3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0A2D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17.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E49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A pénzügyi ágazatbeli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szervezetektől eltérő vállalkozásokban lévő összes befolyásoló részesedés, amely meghaladja a szavatolótőke 60 %-át</w:t>
            </w:r>
          </w:p>
          <w:p w14:paraId="49A79B2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10. cikke (1) bekezdésének a) pontja.</w:t>
            </w:r>
          </w:p>
        </w:tc>
      </w:tr>
      <w:tr w:rsidR="00356888" w:rsidRPr="008853AD" w14:paraId="39D96AF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2DAAE9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18.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2F4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levonások</w:t>
            </w:r>
          </w:p>
          <w:p w14:paraId="504673E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36. cikkének (1) bekezdésé</w:t>
            </w:r>
            <w:r w:rsidRPr="008853AD">
              <w:rPr>
                <w:rFonts w:ascii="Times New Roman" w:hAnsi="Times New Roman"/>
                <w:szCs w:val="22"/>
              </w:rPr>
              <w:t>ben felsorolt egyéb levonások összege.</w:t>
            </w:r>
          </w:p>
        </w:tc>
      </w:tr>
      <w:tr w:rsidR="00356888" w:rsidRPr="008853AD" w14:paraId="04DC69E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64E95DD8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19.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218A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Elsődleges alapvető tőke (CET1): egyéb tőkeelemek, levonások és kiigazítások</w:t>
            </w:r>
          </w:p>
          <w:p w14:paraId="1C39DD0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következő tételek összegét tartalmazza, amennyiben alkalmazandó:</w:t>
            </w:r>
          </w:p>
          <w:p w14:paraId="72E0F4C9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Szerzett jogok alapján figyelembe vett CET1 </w:t>
            </w:r>
            <w:r w:rsidRPr="008853AD">
              <w:rPr>
                <w:rFonts w:ascii="Times New Roman" w:hAnsi="Times New Roman"/>
                <w:bCs/>
              </w:rPr>
              <w:t>tőkeinstrumentumok miatti átmeneti kiigazítások (az 575/2013/EU rendelet 483. cikkének (1), (2) és (3) bekezdése, valamint 484–487. cikke).</w:t>
            </w:r>
          </w:p>
          <w:p w14:paraId="3B1BB968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Kisebbségi részesedések és megfelelőik miatti átmeneti kiigazítások (az 575/2013/EU rendelet 479. és 480. cikke).</w:t>
            </w:r>
          </w:p>
          <w:p w14:paraId="31A4A452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CET1 tőke egyéb átmeneti kiigazításai (az 575/2013/EU rendelet 469–478. és 481. cikke): a CET1 tőkéből történő levonásokban az átmeneti rendelkezések miatt végrehajtott kiigazítások.</w:t>
            </w:r>
          </w:p>
          <w:p w14:paraId="1440B9F4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CET1 tőkeelemek vagy levonások CET1 tőkeelemekből, amelyek ne</w:t>
            </w:r>
            <w:r w:rsidRPr="008853AD">
              <w:rPr>
                <w:rFonts w:ascii="Times New Roman" w:hAnsi="Times New Roman"/>
                <w:bCs/>
              </w:rPr>
              <w:t>m sorolhatók a 4–18. sorok egyikébe sem.</w:t>
            </w:r>
          </w:p>
          <w:p w14:paraId="122A892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nem használható az (EU) 2019/2033 rendelet vagy az 575/2013/EU rendelet hatálya alá nem tartozó tőkeelemeknek vagy levonásoknak a tőkemegfelelési mutató kiszámítása során történő figyelembevételére.</w:t>
            </w:r>
          </w:p>
        </w:tc>
      </w:tr>
      <w:tr w:rsidR="00356888" w:rsidRPr="008853AD" w14:paraId="0EE6EC6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16D7500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20.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6149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KI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EGÉSZÍTŐ ALAPVETŐ TŐKE (AT1)</w:t>
            </w:r>
          </w:p>
          <w:p w14:paraId="18F04B2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bekezdése.</w:t>
            </w:r>
          </w:p>
          <w:p w14:paraId="55800BC1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61. cikke.</w:t>
            </w:r>
          </w:p>
          <w:p w14:paraId="2C4FDD3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21–24. sor teljes összegét kell megadni.</w:t>
            </w:r>
          </w:p>
        </w:tc>
      </w:tr>
      <w:tr w:rsidR="00356888" w:rsidRPr="008853AD" w14:paraId="165FE68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C08590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21.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C360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befizetett, közvetlenül kibocsátott tőkeinstrumentumok</w:t>
            </w:r>
          </w:p>
          <w:p w14:paraId="41C2D97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</w:t>
            </w:r>
            <w:r w:rsidRPr="008853AD">
              <w:rPr>
                <w:rFonts w:ascii="Times New Roman" w:hAnsi="Times New Roman"/>
                <w:bCs/>
                <w:szCs w:val="22"/>
              </w:rPr>
              <w:t>(EU) 2019/2033 rendelet 9. cikke (1) bekezdésének i. pontja.</w:t>
            </w:r>
          </w:p>
          <w:p w14:paraId="6B1D28A8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51. cikkének a) pontja és 52., 53. és 54. cikke.</w:t>
            </w:r>
          </w:p>
          <w:p w14:paraId="58AD95F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nem foglalhatja magában az instrumentumokhoz kapcsolódó ázsiót.</w:t>
            </w:r>
          </w:p>
        </w:tc>
      </w:tr>
      <w:tr w:rsidR="00356888" w:rsidRPr="008853AD" w14:paraId="7ACA8EF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81C685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22.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D4F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0A2A384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</w:t>
            </w:r>
            <w:r w:rsidRPr="008853AD">
              <w:rPr>
                <w:rFonts w:ascii="Times New Roman" w:hAnsi="Times New Roman"/>
                <w:bCs/>
                <w:szCs w:val="22"/>
              </w:rPr>
              <w:t>(EU) 2019/2033 rendelet 9. cikke (1) bekezdésének i. pontja.</w:t>
            </w:r>
          </w:p>
          <w:p w14:paraId="10BE6041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(51) bekezdésének b) pontja.</w:t>
            </w:r>
          </w:p>
          <w:p w14:paraId="727F4A45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18511CC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be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fizetett tőkeinstrumentumokhoz kapcsolódó rész.</w:t>
            </w:r>
          </w:p>
        </w:tc>
      </w:tr>
      <w:tr w:rsidR="00356888" w:rsidRPr="008853AD" w14:paraId="63E5009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7DB267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23.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9EF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KIEGÉSZÍTŐ ALAPVETŐ TŐKÉBŐL VALÓ LEVONÁSOK ÖSSZESEN</w:t>
            </w:r>
          </w:p>
          <w:p w14:paraId="186132C2" w14:textId="77777777" w:rsidR="00356888" w:rsidRPr="008853AD" w:rsidRDefault="008853AD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56. cikke.</w:t>
            </w:r>
          </w:p>
        </w:tc>
      </w:tr>
      <w:tr w:rsidR="00356888" w:rsidRPr="008853AD" w14:paraId="362D620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354589A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24.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EB2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Kiegészítő alapvető tőke (AT1): egyéb tőkeelemek, levonások és kiigazítások</w:t>
            </w:r>
          </w:p>
          <w:p w14:paraId="3766186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Ez a sor a következő </w:t>
            </w:r>
            <w:r w:rsidRPr="008853AD">
              <w:rPr>
                <w:rFonts w:ascii="Times New Roman" w:hAnsi="Times New Roman"/>
                <w:bCs/>
                <w:szCs w:val="22"/>
              </w:rPr>
              <w:t>tételek összegét tartalmazza, amennyiben alkalmazandó:</w:t>
            </w:r>
          </w:p>
          <w:p w14:paraId="62C224D1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Szerzett jogok alapján figyelembe vett AT1 tőkeinstrumentumok miatti átmeneti kiigazítások (az 575/2013/EU rendelet 483. cikkének (4) és (5) bekezdése, 484–487. cikke, valamint 489. és 491. cikke).</w:t>
            </w:r>
          </w:p>
          <w:p w14:paraId="4D0B4F20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Leányvállalatok által kibocsátott, AT1 tőkében megjelenített instrumentumok (az 575/2013/EU rendelet 83., 85. és 86. cikke): Leányvállalatok alapvető tőkébe beszámítható, a konszolidált AT1 tőkében szereplő összes tőkeelemének összege, beleértve a különle</w:t>
            </w:r>
            <w:r w:rsidRPr="008853AD">
              <w:rPr>
                <w:rFonts w:ascii="Times New Roman" w:hAnsi="Times New Roman"/>
                <w:bCs/>
              </w:rPr>
              <w:t>ges célú gazdasági egységek által kibocsátott tőkét is (az 575/2013/EU rendelet 83. cikke).</w:t>
            </w:r>
          </w:p>
          <w:p w14:paraId="45E7595D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leányvállalatok által kibocsátott instrumentumok AT1 tőkében való további megjelenítése miatti átmeneti kiigazítások (az 575/2013/EU rendelet 480. cikke), az al</w:t>
            </w:r>
            <w:r w:rsidRPr="008853AD">
              <w:rPr>
                <w:rFonts w:ascii="Times New Roman" w:hAnsi="Times New Roman"/>
                <w:bCs/>
              </w:rPr>
              <w:t>apvető tőkébe beszámítható, a konszolidált AT1 tőkében szereplő tőkeelemeknek az átmeneti rendelkezések miatti kiigazításai.</w:t>
            </w:r>
          </w:p>
          <w:p w14:paraId="575C1D59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Az AT1 tőke egyéb átmeneti kiigazításai (az 575/2013/EU rendelet 472., 473a., 474., 475., 478. és 481. cikke): a levonásoknak az </w:t>
            </w:r>
            <w:r w:rsidRPr="008853AD">
              <w:rPr>
                <w:rFonts w:ascii="Times New Roman" w:hAnsi="Times New Roman"/>
                <w:bCs/>
              </w:rPr>
              <w:t>átmeneti rendelkezések miatti kiigazításai.</w:t>
            </w:r>
          </w:p>
          <w:p w14:paraId="03DED400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Az AT1 tőkeelemekből az AT1 tőkét meghaladó többletlevonások, amelyeket az 575/2013/EU rendelet 36. cikke (1) bekezdése j) pontjának megfelelően az elsődleges alapvető tőkéből kell levonni: a kiegészítő alapvet</w:t>
            </w:r>
            <w:r w:rsidRPr="008853AD">
              <w:rPr>
                <w:rFonts w:ascii="Times New Roman" w:hAnsi="Times New Roman"/>
                <w:bCs/>
              </w:rPr>
              <w:t xml:space="preserve">ő tőke nem lehet negatív, de előfordulhat, hogy az AT1 tőkéből történő levonások meghaladják a rendelkezésre álló AT1 tőkeelemek összegét. Ilyen esetben ez a tétel a 20. sorban feltüntetett összeg nullára növeléséhez szükséges összeget jelenti, és egyenlő </w:t>
            </w:r>
            <w:r w:rsidRPr="008853AD">
              <w:rPr>
                <w:rFonts w:ascii="Times New Roman" w:hAnsi="Times New Roman"/>
                <w:bCs/>
              </w:rPr>
              <w:t>az AT1 tőkeelemekből az AT1 tőkét meghaladó, más levonásokkal együtt a 18. sorban feltüntetett többletlevonások fordított előjelű összegével.</w:t>
            </w:r>
          </w:p>
          <w:p w14:paraId="1677B05C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AT1 tőkeelemek vagy levonások AT1 elemekből, amelyek nem sorolhatók a 21–23. sorok egyikébe sem.</w:t>
            </w:r>
          </w:p>
          <w:p w14:paraId="08B5814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Ez a </w:t>
            </w:r>
            <w:r w:rsidRPr="008853AD">
              <w:rPr>
                <w:rFonts w:ascii="Times New Roman" w:hAnsi="Times New Roman"/>
                <w:bCs/>
                <w:szCs w:val="22"/>
              </w:rPr>
              <w:t>sor nem használható az (EU) 2019/2033 rendelet vagy az 575/2013/EU rendelet hatálya alá nem tartozó tőkeelemeknek vagy levonásoknak a tőkemegfelelési mutató kiszámítása során történő figyelembevételére.</w:t>
            </w:r>
          </w:p>
        </w:tc>
      </w:tr>
      <w:tr w:rsidR="00356888" w:rsidRPr="008853AD" w14:paraId="1714D15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6175DB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25.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3433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TŐKE (TIER 2, T2 TŐKE)</w:t>
            </w:r>
          </w:p>
          <w:p w14:paraId="65E794D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 xml:space="preserve">Az </w:t>
            </w:r>
            <w:r w:rsidRPr="008853AD">
              <w:rPr>
                <w:rFonts w:ascii="Times New Roman" w:hAnsi="Times New Roman"/>
                <w:bCs/>
                <w:szCs w:val="22"/>
              </w:rPr>
              <w:t>(EU) 2019/2033 rendelet 9. cikkének (1) bekezdése.</w:t>
            </w:r>
          </w:p>
          <w:p w14:paraId="0045C47E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71. cikke.</w:t>
            </w:r>
          </w:p>
          <w:p w14:paraId="0F8FB4B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26–29. sor teljes összegét kell megadni.</w:t>
            </w:r>
          </w:p>
        </w:tc>
      </w:tr>
      <w:tr w:rsidR="00356888" w:rsidRPr="008853AD" w14:paraId="1F3C726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4B0887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26.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F817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befizetett, közvetlenül kibocsátott tőkeinstrumentumok</w:t>
            </w:r>
          </w:p>
          <w:p w14:paraId="77C7A96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</w:t>
            </w:r>
            <w:r w:rsidRPr="008853AD">
              <w:rPr>
                <w:rFonts w:ascii="Times New Roman" w:hAnsi="Times New Roman"/>
                <w:bCs/>
                <w:szCs w:val="22"/>
              </w:rPr>
              <w:t>ek i. pontja.</w:t>
            </w:r>
          </w:p>
          <w:p w14:paraId="41B9BBCA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62. cikkének a) pontja, valamint 63. és 65. cikke.</w:t>
            </w:r>
          </w:p>
          <w:p w14:paraId="0D660E3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nem foglalhatja magában az instrumentumokhoz kapcsolódó ázsiót.</w:t>
            </w:r>
          </w:p>
        </w:tc>
      </w:tr>
      <w:tr w:rsidR="00356888" w:rsidRPr="008853AD" w14:paraId="500ACE4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CFCCCA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27.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0AB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5BFEDA3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5B06FBC6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575/2013/EU rendelet 62. cikkének b) pontja és 65. cikke.</w:t>
            </w:r>
          </w:p>
          <w:p w14:paraId="35F5BBD0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2F32EF15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ebben az elemben feltüntetendő érték a befizetett tőkeinstrumentumokhoz kapcsolódó rész.</w:t>
            </w:r>
          </w:p>
        </w:tc>
      </w:tr>
      <w:tr w:rsidR="00356888" w:rsidRPr="008853AD" w14:paraId="2BA94E0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9981E8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29.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73B3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A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TŐKÉBŐL (TIER 2, T2) VALÓ LEVONÁSOK ÖSSZESEN</w:t>
            </w:r>
          </w:p>
          <w:p w14:paraId="3B078C9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66. cikke.</w:t>
            </w:r>
          </w:p>
        </w:tc>
      </w:tr>
      <w:tr w:rsidR="00356888" w:rsidRPr="008853AD" w14:paraId="70FA4F8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9224B57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30.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10D5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tőke (Tier 2, T2): egyéb tőkeelemek, levonások és kiigazítások</w:t>
            </w:r>
          </w:p>
          <w:p w14:paraId="4A58A58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következő tételek összegét tartalmazza, amennyiben alkalmazandó:</w:t>
            </w:r>
          </w:p>
          <w:p w14:paraId="45D41D37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Szerzett jogok alapján figyelembe vett T2 tőkeinstrumentumok miatti átmeneti kiigazítások (az 575/2013/EU rendelet 483. cikkének (6) és (7) bekezdése, 484., 486., 488., 490. és 491. cikke).</w:t>
            </w:r>
          </w:p>
          <w:p w14:paraId="75719EA5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Leányvállalatok által kibocsátott, T2 tőkében megjelenített inst</w:t>
            </w:r>
            <w:r w:rsidRPr="008853AD">
              <w:rPr>
                <w:rFonts w:ascii="Times New Roman" w:hAnsi="Times New Roman"/>
                <w:bCs/>
              </w:rPr>
              <w:t>rumentumok (az 575/2013/EU rendelet 83., 87. és 88. cikke): leányvállalatok szavatolótőkébe beszámítható, a konszolidált T2 tőkében szereplő összes tőkeelemének összege, beleértve a különleges célú gazdasági egységek által kibocsátott, a szavatolótőkébe be</w:t>
            </w:r>
            <w:r w:rsidRPr="008853AD">
              <w:rPr>
                <w:rFonts w:ascii="Times New Roman" w:hAnsi="Times New Roman"/>
                <w:bCs/>
              </w:rPr>
              <w:t>számítható T2 tőkét is (az 575/2013/EU rendelet 83. cikke).</w:t>
            </w:r>
          </w:p>
          <w:p w14:paraId="22E00DB7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leányvállalatok által kibocsátott instrumentumok T2 tőkében való további megjelenítése miatti átmeneti kiigazítások (az 575/2013/EU rendelet 480. cikke). A szavatolótőkébe beszámítható tőkeele</w:t>
            </w:r>
            <w:r w:rsidRPr="008853AD">
              <w:rPr>
                <w:rFonts w:ascii="Times New Roman" w:hAnsi="Times New Roman"/>
                <w:bCs/>
              </w:rPr>
              <w:t>meknek a konszolidált T2 tőke részét képező összegében az átmeneti rendelkezések miatt végrehajtott kiigazítások.</w:t>
            </w:r>
          </w:p>
          <w:p w14:paraId="087ADD02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T2 tőke egyéb átmeneti kiigazításai (az 575/2013/EU rendelet 472., 473a., 476., 477., 478. és 481. cikke): a T2 tőkéből történő levonásokb</w:t>
            </w:r>
            <w:r w:rsidRPr="008853AD">
              <w:rPr>
                <w:rFonts w:ascii="Times New Roman" w:hAnsi="Times New Roman"/>
                <w:bCs/>
              </w:rPr>
              <w:t>an az átmeneti rendelkezések miatt végrehajtott kiigazítások.</w:t>
            </w:r>
          </w:p>
          <w:p w14:paraId="6C7D39B1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T2 tőkeelemekből a T2 tőkét meghaladó többletlevonások, amelyeket az 575/2013/EU rendelet 56. cikke e) pontjának megfelelően a kiegészítő alapvető tőkéből kell levonni: a T2 tőke nem lehet n</w:t>
            </w:r>
            <w:r w:rsidRPr="008853AD">
              <w:rPr>
                <w:rFonts w:ascii="Times New Roman" w:hAnsi="Times New Roman"/>
                <w:bCs/>
              </w:rPr>
              <w:t>egatív, de előfordulhat, hogy a T2 tőkéből történő levonások meghaladják a rendelkezésre álló T2 tőkeelemek összegét. Ilyen esetekben ez a tétel a 25. sorban feltüntetett összeg nullára növeléséhez szükséges összeget jelenti.</w:t>
            </w:r>
          </w:p>
          <w:p w14:paraId="1B1B1C56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T2 tőkeelemek vagy lev</w:t>
            </w:r>
            <w:r w:rsidRPr="008853AD">
              <w:rPr>
                <w:rFonts w:ascii="Times New Roman" w:hAnsi="Times New Roman"/>
                <w:bCs/>
              </w:rPr>
              <w:t>onások T2 elemekből, amelyek nem sorolhatók a 26–28. sorok egyikébe sem.</w:t>
            </w:r>
          </w:p>
          <w:p w14:paraId="7A1ACB6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nem használható az (EU) 2019/2033 rendelet vagy az 575/2013/EU rendelet hatálya alá nem tartozó tőkeelemeknek vagy levonásoknak a tőkemegfelelési mutató kiszámítása során tör</w:t>
            </w:r>
            <w:r w:rsidRPr="008853AD">
              <w:rPr>
                <w:rFonts w:ascii="Times New Roman" w:hAnsi="Times New Roman"/>
                <w:bCs/>
                <w:szCs w:val="22"/>
              </w:rPr>
              <w:t>ténő figyelembevételére.</w:t>
            </w:r>
          </w:p>
        </w:tc>
      </w:tr>
    </w:tbl>
    <w:p w14:paraId="4DC942CF" w14:textId="77777777" w:rsidR="00356888" w:rsidRPr="008853AD" w:rsidRDefault="00356888">
      <w:pPr>
        <w:ind w:left="720"/>
        <w:rPr>
          <w:rFonts w:ascii="Times New Roman" w:hAnsi="Times New Roman" w:cs="Times New Roman"/>
          <w:b/>
          <w:bCs/>
          <w:sz w:val="24"/>
        </w:rPr>
      </w:pPr>
    </w:p>
    <w:p w14:paraId="3D14E088" w14:textId="77777777" w:rsidR="00356888" w:rsidRPr="008853AD" w:rsidRDefault="008853AD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8853AD">
        <w:rPr>
          <w:rFonts w:ascii="Times New Roman" w:hAnsi="Times New Roman"/>
          <w:b/>
          <w:bCs/>
          <w:sz w:val="24"/>
        </w:rPr>
        <w:t>EU I CC1.03 tábla – A szabályozói szavatolótőke összetétele (csoporttőketeszt)</w:t>
      </w:r>
    </w:p>
    <w:p w14:paraId="64F6995F" w14:textId="77777777" w:rsidR="00356888" w:rsidRPr="008853AD" w:rsidRDefault="008853AD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6.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 xml:space="preserve">Az (EU) 2019/2033 rendelet 8. cikkének (3) bekezdésében említett, ugyanezen cikk alkalmazásában részesülő szervezetek az EU I CC1.03 </w:t>
      </w:r>
      <w:r w:rsidRPr="008853AD">
        <w:rPr>
          <w:rFonts w:ascii="Times New Roman" w:hAnsi="Times New Roman"/>
          <w:bCs/>
          <w:sz w:val="24"/>
        </w:rPr>
        <w:t>táblának és az alábbi útmutatónak megfelelően kötelesek nyilvánosságra hozni a szavatolótőke összetételére vonatkozó információkat.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356888" w:rsidRPr="008853AD" w14:paraId="0EC0A6C4" w14:textId="77777777">
        <w:tc>
          <w:tcPr>
            <w:tcW w:w="1129" w:type="dxa"/>
            <w:shd w:val="clear" w:color="auto" w:fill="D9D9D9"/>
          </w:tcPr>
          <w:p w14:paraId="6366B4C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76329D1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Jogszabályi hivatkozások és útmutató</w:t>
            </w:r>
          </w:p>
        </w:tc>
      </w:tr>
      <w:tr w:rsidR="00356888" w:rsidRPr="008853AD" w14:paraId="3F94F578" w14:textId="77777777">
        <w:tc>
          <w:tcPr>
            <w:tcW w:w="1129" w:type="dxa"/>
            <w:vAlign w:val="center"/>
          </w:tcPr>
          <w:p w14:paraId="0FCA5DF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color w:val="000000"/>
                <w:szCs w:val="22"/>
              </w:rPr>
              <w:t>1.</w:t>
            </w:r>
          </w:p>
        </w:tc>
        <w:tc>
          <w:tcPr>
            <w:tcW w:w="7620" w:type="dxa"/>
          </w:tcPr>
          <w:p w14:paraId="6184498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SZAVATOLÓTŐKE</w:t>
            </w:r>
          </w:p>
          <w:p w14:paraId="2B06076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bekezdése.</w:t>
            </w:r>
          </w:p>
          <w:p w14:paraId="2157C7B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Egy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befektetési vállalkozás szavatolótőkéje az alapvető tőkéjének és a járulékos tőkéjének összegéből áll.</w:t>
            </w:r>
          </w:p>
        </w:tc>
      </w:tr>
      <w:tr w:rsidR="00356888" w:rsidRPr="008853AD" w14:paraId="5F521121" w14:textId="77777777">
        <w:tc>
          <w:tcPr>
            <w:tcW w:w="1129" w:type="dxa"/>
            <w:vAlign w:val="center"/>
          </w:tcPr>
          <w:p w14:paraId="5099D57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color w:val="000000"/>
                <w:szCs w:val="22"/>
              </w:rPr>
              <w:t>2.</w:t>
            </w:r>
          </w:p>
        </w:tc>
        <w:tc>
          <w:tcPr>
            <w:tcW w:w="7620" w:type="dxa"/>
          </w:tcPr>
          <w:p w14:paraId="389ED3A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ALAPVETŐ TŐKE (TIER 1 TŐKE)</w:t>
            </w:r>
          </w:p>
          <w:p w14:paraId="402B7C7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alapvető tőke az elsődleges alapvető tőke és a kiegészítő alapvető tőke összege.</w:t>
            </w:r>
          </w:p>
        </w:tc>
      </w:tr>
      <w:tr w:rsidR="00356888" w:rsidRPr="008853AD" w14:paraId="2C979CDD" w14:textId="77777777">
        <w:tc>
          <w:tcPr>
            <w:tcW w:w="1129" w:type="dxa"/>
            <w:vAlign w:val="center"/>
          </w:tcPr>
          <w:p w14:paraId="6A68188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color w:val="000000"/>
                <w:szCs w:val="22"/>
              </w:rPr>
              <w:t>3.</w:t>
            </w:r>
          </w:p>
        </w:tc>
        <w:tc>
          <w:tcPr>
            <w:tcW w:w="7620" w:type="dxa"/>
          </w:tcPr>
          <w:p w14:paraId="368197F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 xml:space="preserve">ELSŐDLEGES ALAPVETŐ TŐKE </w:t>
            </w:r>
            <w:r w:rsidRPr="008853AD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(CET1)</w:t>
            </w:r>
          </w:p>
          <w:p w14:paraId="24B0671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bekezdése.</w:t>
            </w:r>
          </w:p>
          <w:p w14:paraId="1E6F3D8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50. cikke.</w:t>
            </w:r>
          </w:p>
        </w:tc>
      </w:tr>
      <w:tr w:rsidR="00356888" w:rsidRPr="008853AD" w14:paraId="4F2FCC52" w14:textId="77777777">
        <w:tc>
          <w:tcPr>
            <w:tcW w:w="1129" w:type="dxa"/>
            <w:vAlign w:val="center"/>
          </w:tcPr>
          <w:p w14:paraId="4F698EB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4.</w:t>
            </w:r>
          </w:p>
        </w:tc>
        <w:tc>
          <w:tcPr>
            <w:tcW w:w="7620" w:type="dxa"/>
          </w:tcPr>
          <w:p w14:paraId="1F94164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Befizetett tőkeinstrumentumok</w:t>
            </w:r>
          </w:p>
          <w:p w14:paraId="0F27BD4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0294D63D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a) pontja é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s 27–31. cikke.</w:t>
            </w:r>
          </w:p>
          <w:p w14:paraId="22EB914B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Magában foglalja a kölcsönös biztosítók, szövetkezeti társaságok és hasonló intézmények tőkeinstrumentumait (az 575/2013/EU rendelet 27. és 29. cikke).</w:t>
            </w:r>
          </w:p>
          <w:p w14:paraId="4231A764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Nem tartalmazza az instrumentumokhoz kapcsolódó ázsiót.</w:t>
            </w:r>
          </w:p>
          <w:p w14:paraId="05EF7A34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szükséghelyzetekben állami hatóságok által lejegyzett tőkeinstrumentumokat akkor tartalmazza, ha az 575/2013/EU rendelet 31. cikkében foglalt minden feltétel teljesül.</w:t>
            </w:r>
          </w:p>
        </w:tc>
      </w:tr>
      <w:tr w:rsidR="00356888" w:rsidRPr="008853AD" w14:paraId="087BA4A4" w14:textId="77777777">
        <w:tc>
          <w:tcPr>
            <w:tcW w:w="1129" w:type="dxa"/>
            <w:vAlign w:val="center"/>
          </w:tcPr>
          <w:p w14:paraId="77BE3EC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5.</w:t>
            </w:r>
          </w:p>
        </w:tc>
        <w:tc>
          <w:tcPr>
            <w:tcW w:w="7620" w:type="dxa"/>
          </w:tcPr>
          <w:p w14:paraId="587C369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3046D29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2808AF63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rendelet 26. cikke (1) bekezdésének b) pontja.</w:t>
            </w:r>
          </w:p>
          <w:p w14:paraId="703D30F8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768C894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befizetett tőkeinstrumentumokhoz kapcsolódó rész.</w:t>
            </w:r>
          </w:p>
        </w:tc>
      </w:tr>
      <w:tr w:rsidR="00356888" w:rsidRPr="008853AD" w14:paraId="02963702" w14:textId="77777777">
        <w:tc>
          <w:tcPr>
            <w:tcW w:w="1129" w:type="dxa"/>
            <w:vAlign w:val="center"/>
          </w:tcPr>
          <w:p w14:paraId="0A67E97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6.</w:t>
            </w:r>
          </w:p>
        </w:tc>
        <w:tc>
          <w:tcPr>
            <w:tcW w:w="7620" w:type="dxa"/>
          </w:tcPr>
          <w:p w14:paraId="4F7360E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Eredménytartalék</w:t>
            </w:r>
          </w:p>
          <w:p w14:paraId="185A4BE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5B1D99C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26. cikke (1) bekezdésének c) pontja.</w:t>
            </w:r>
          </w:p>
          <w:p w14:paraId="19A24DF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eredménytartalék az előző évi eredménytartalékot és a figyelembe vehető évközi vagy év végi nyereséget foglalj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magában.</w:t>
            </w:r>
          </w:p>
        </w:tc>
      </w:tr>
      <w:tr w:rsidR="00356888" w:rsidRPr="008853AD" w14:paraId="6D6E2B30" w14:textId="77777777">
        <w:tc>
          <w:tcPr>
            <w:tcW w:w="1129" w:type="dxa"/>
            <w:vAlign w:val="center"/>
          </w:tcPr>
          <w:p w14:paraId="57C8EA4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7.</w:t>
            </w:r>
          </w:p>
        </w:tc>
        <w:tc>
          <w:tcPr>
            <w:tcW w:w="7620" w:type="dxa"/>
          </w:tcPr>
          <w:p w14:paraId="51D028C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Előző évek eredménytartaléka</w:t>
            </w:r>
          </w:p>
          <w:p w14:paraId="39B9C86A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4. cikke (1) bekezdésének 123. pontja és 26. cikke (1) bekezdésének c) pontja.</w:t>
            </w:r>
          </w:p>
          <w:p w14:paraId="274A6E1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lastRenderedPageBreak/>
              <w:t>Az 575/2013/EU rendelet 4. cikke (1) bekezdésének 123. pontja szerint az eredménytartalék „az alkalmazandó sz</w:t>
            </w:r>
            <w:r w:rsidRPr="008853AD">
              <w:rPr>
                <w:rFonts w:ascii="Times New Roman" w:hAnsi="Times New Roman"/>
                <w:szCs w:val="22"/>
              </w:rPr>
              <w:t>ámviteli szabályozás alapján az eredmény végső alkalmazásának következtében áthozott eredmény”.</w:t>
            </w:r>
          </w:p>
        </w:tc>
      </w:tr>
      <w:tr w:rsidR="00356888" w:rsidRPr="008853AD" w14:paraId="1A188715" w14:textId="77777777">
        <w:tc>
          <w:tcPr>
            <w:tcW w:w="1129" w:type="dxa"/>
            <w:vAlign w:val="center"/>
          </w:tcPr>
          <w:p w14:paraId="367BD18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8.</w:t>
            </w:r>
          </w:p>
        </w:tc>
        <w:tc>
          <w:tcPr>
            <w:tcW w:w="7620" w:type="dxa"/>
          </w:tcPr>
          <w:p w14:paraId="472273C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Figyelembe vehető nyereség/veszteség</w:t>
            </w:r>
          </w:p>
          <w:p w14:paraId="0FC0483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 xml:space="preserve">Az 575/2013/EU rendelet 4. cikke (1) bekezdésének 121. pontja, 26. cikkének (2) bekezdése és 36. cikke (1) </w:t>
            </w:r>
            <w:r w:rsidRPr="008853AD">
              <w:rPr>
                <w:rFonts w:ascii="Times New Roman" w:hAnsi="Times New Roman"/>
                <w:szCs w:val="22"/>
              </w:rPr>
              <w:t>bekezdésének a) pontja.</w:t>
            </w:r>
          </w:p>
          <w:p w14:paraId="5E9E9B2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26. cikkének (2) bekezdése bizonyos feltételek teljesülése esetén megengedi az évközi vagy év végi nyereségnek az eredménytartalékba történő beszámítását, ha azt az illetékes hatóságok előzetesen engedélyezik</w:t>
            </w:r>
            <w:r w:rsidRPr="008853AD">
              <w:rPr>
                <w:rFonts w:ascii="Times New Roman" w:hAnsi="Times New Roman"/>
                <w:szCs w:val="22"/>
              </w:rPr>
              <w:t>.</w:t>
            </w:r>
          </w:p>
          <w:p w14:paraId="05B2093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Ugyanakkor a veszteségeket az 575/2013/EU rendelet 36. cikke (1) bekezdésének a) pontja szerint le kell vonni a CET1 tőkéből.</w:t>
            </w:r>
          </w:p>
        </w:tc>
      </w:tr>
      <w:tr w:rsidR="00356888" w:rsidRPr="008853AD" w14:paraId="541B82BA" w14:textId="77777777">
        <w:tc>
          <w:tcPr>
            <w:tcW w:w="1129" w:type="dxa"/>
            <w:vAlign w:val="center"/>
          </w:tcPr>
          <w:p w14:paraId="3A02ED0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9.</w:t>
            </w:r>
          </w:p>
        </w:tc>
        <w:tc>
          <w:tcPr>
            <w:tcW w:w="7620" w:type="dxa"/>
          </w:tcPr>
          <w:p w14:paraId="1D4BC21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Halmozott egyéb átfogó jövedelem</w:t>
            </w:r>
          </w:p>
          <w:p w14:paraId="7E61CE0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092B1043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575/2013/EU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rendelet 26. cikke (1) bekezdésének d) pontja.</w:t>
            </w:r>
          </w:p>
        </w:tc>
      </w:tr>
      <w:tr w:rsidR="00356888" w:rsidRPr="008853AD" w14:paraId="57539ACC" w14:textId="77777777">
        <w:tc>
          <w:tcPr>
            <w:tcW w:w="1129" w:type="dxa"/>
            <w:vAlign w:val="center"/>
          </w:tcPr>
          <w:p w14:paraId="3E72EFB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20" w:type="dxa"/>
          </w:tcPr>
          <w:p w14:paraId="5A63FB2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Egyéb tartalékok</w:t>
            </w:r>
          </w:p>
          <w:p w14:paraId="48A6EAA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4685AAB7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4. cikke (1) bekezdésének 117. pontja és 26. cikke (1) bekezdésének e) pontja.</w:t>
            </w:r>
          </w:p>
          <w:p w14:paraId="10F30D5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a kiszámítás időpontjában előre látható adóterhek levonásával kapott összeg.</w:t>
            </w:r>
          </w:p>
        </w:tc>
      </w:tr>
      <w:tr w:rsidR="00356888" w:rsidRPr="008853AD" w14:paraId="2B59C29B" w14:textId="77777777">
        <w:tc>
          <w:tcPr>
            <w:tcW w:w="1129" w:type="dxa"/>
            <w:vAlign w:val="center"/>
          </w:tcPr>
          <w:p w14:paraId="3D6655EE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11.</w:t>
            </w:r>
          </w:p>
        </w:tc>
        <w:tc>
          <w:tcPr>
            <w:tcW w:w="7620" w:type="dxa"/>
          </w:tcPr>
          <w:p w14:paraId="19FB72C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Prudenciális szűrők miatt végrehajtott kiigazítások az elsődleges alapvető tőkében (CET1)</w:t>
            </w:r>
          </w:p>
          <w:p w14:paraId="5E6F755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74F663A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elet 32–35. cikke</w:t>
            </w:r>
          </w:p>
        </w:tc>
      </w:tr>
      <w:tr w:rsidR="00356888" w:rsidRPr="008853AD" w14:paraId="5257D5E1" w14:textId="77777777">
        <w:tc>
          <w:tcPr>
            <w:tcW w:w="1129" w:type="dxa"/>
            <w:vAlign w:val="center"/>
          </w:tcPr>
          <w:p w14:paraId="2D8B6BFB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12.</w:t>
            </w:r>
          </w:p>
        </w:tc>
        <w:tc>
          <w:tcPr>
            <w:tcW w:w="7620" w:type="dxa"/>
          </w:tcPr>
          <w:p w14:paraId="58BA547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Egyéb pénzeszközök</w:t>
            </w:r>
          </w:p>
          <w:p w14:paraId="7F46989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(4) bekezdése.</w:t>
            </w:r>
          </w:p>
        </w:tc>
      </w:tr>
      <w:tr w:rsidR="00356888" w:rsidRPr="008853AD" w14:paraId="1C548B97" w14:textId="77777777">
        <w:tc>
          <w:tcPr>
            <w:tcW w:w="1129" w:type="dxa"/>
            <w:vAlign w:val="center"/>
          </w:tcPr>
          <w:p w14:paraId="0EB5057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13.</w:t>
            </w:r>
          </w:p>
        </w:tc>
        <w:tc>
          <w:tcPr>
            <w:tcW w:w="7620" w:type="dxa"/>
          </w:tcPr>
          <w:p w14:paraId="519F48D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AZ ELSŐDLEGES ALAPVETŐ TŐKÉBŐL VALÓ LEVONÁSOK ÖSSZESEN</w:t>
            </w:r>
          </w:p>
          <w:p w14:paraId="66BA838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14–23. sor teljes összegét kell megadni.</w:t>
            </w:r>
          </w:p>
        </w:tc>
      </w:tr>
      <w:tr w:rsidR="00356888" w:rsidRPr="008853AD" w14:paraId="7ED9914D" w14:textId="77777777">
        <w:tc>
          <w:tcPr>
            <w:tcW w:w="1129" w:type="dxa"/>
            <w:vAlign w:val="center"/>
          </w:tcPr>
          <w:p w14:paraId="727BE68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14.</w:t>
            </w:r>
          </w:p>
        </w:tc>
        <w:tc>
          <w:tcPr>
            <w:tcW w:w="7620" w:type="dxa"/>
            <w:shd w:val="clear" w:color="auto" w:fill="auto"/>
          </w:tcPr>
          <w:p w14:paraId="1647147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Saját elsődleges alapvető (CET1)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tőkeinstrumentumok</w:t>
            </w:r>
          </w:p>
          <w:p w14:paraId="3FE81FC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4717B7E9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36. cikke (1) bekezdésének f) pontja és 42. cikke.</w:t>
            </w:r>
          </w:p>
          <w:p w14:paraId="73F73C55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adatot szolgáltató intézmény vagy csoport saját CET1 tőkéje az adatszolgáltatás vonatkozási idő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pontjában. Az 575/2013/EU rendelet 42. cikkében foglalt kivételek figyelembevételével.</w:t>
            </w:r>
          </w:p>
          <w:p w14:paraId="6ED28F26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Ebben a sorban nem tüntethetők fel a „Figyelembe nem vehető tőkeinstrumentum”-ként szerepeltetett részvények.</w:t>
            </w:r>
          </w:p>
          <w:p w14:paraId="1ECA91D4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magában foglalja a saját részvényekhe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z kapcsolódó ázsiót.</w:t>
            </w:r>
          </w:p>
          <w:p w14:paraId="5C493094" w14:textId="77777777" w:rsidR="00356888" w:rsidRPr="008853AD" w:rsidRDefault="00356888">
            <w:pPr>
              <w:pStyle w:val="InstructionsText"/>
            </w:pPr>
          </w:p>
        </w:tc>
      </w:tr>
      <w:tr w:rsidR="00356888" w:rsidRPr="008853AD" w14:paraId="47A82AA4" w14:textId="77777777">
        <w:tc>
          <w:tcPr>
            <w:tcW w:w="1129" w:type="dxa"/>
            <w:vAlign w:val="center"/>
          </w:tcPr>
          <w:p w14:paraId="7BA83A9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15.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C52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Folyó üzleti év veszteségei</w:t>
            </w:r>
          </w:p>
          <w:p w14:paraId="79E0FF1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36. cikke (1) bekezdésének a) pontja.</w:t>
            </w:r>
          </w:p>
        </w:tc>
      </w:tr>
      <w:tr w:rsidR="00356888" w:rsidRPr="008853AD" w14:paraId="38E541C7" w14:textId="77777777">
        <w:tc>
          <w:tcPr>
            <w:tcW w:w="1129" w:type="dxa"/>
            <w:vAlign w:val="center"/>
          </w:tcPr>
          <w:p w14:paraId="1978C27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lastRenderedPageBreak/>
              <w:t>16.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88CB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Cégérték (goodwill)</w:t>
            </w:r>
          </w:p>
          <w:p w14:paraId="50CA571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7D7CD43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575/2013/EU rendelet 4. cikke (1)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bekezdésének 113. pontja, 36. cikke (1) bekezdésének b) pontja és 37. cikke.</w:t>
            </w:r>
          </w:p>
        </w:tc>
      </w:tr>
      <w:tr w:rsidR="00356888" w:rsidRPr="008853AD" w14:paraId="2F8C20EF" w14:textId="77777777">
        <w:tc>
          <w:tcPr>
            <w:tcW w:w="1129" w:type="dxa"/>
            <w:vAlign w:val="center"/>
          </w:tcPr>
          <w:p w14:paraId="4E19516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17.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3A0C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immateriális javak</w:t>
            </w:r>
          </w:p>
          <w:p w14:paraId="6F4C928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679EAF91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4. cikke (1) bekezdésének 115. pontja, 36. cikke (1) beke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zdésének b) pontja és 37. cikkének a) pontja.</w:t>
            </w:r>
          </w:p>
          <w:p w14:paraId="4DC23C3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egyéb immateriális javak értéke az alkalmazandó számviteli szabályozás szerint immateriális javaknak minősülő eszközök értéke, csökkentve ugyancsak az alkalmazandó számviteli szabályozás szerinti cégértékkel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356888" w:rsidRPr="008853AD" w14:paraId="6DD74EEA" w14:textId="77777777">
        <w:tc>
          <w:tcPr>
            <w:tcW w:w="1129" w:type="dxa"/>
            <w:vAlign w:val="center"/>
          </w:tcPr>
          <w:p w14:paraId="2DD8315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18.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992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Jövőbeli nyereségtől függően érvényesíthető, nem átmeneti különbözetből eredő halasztott adókövetelések kapcsolódó adókötelezettségek nélkül</w:t>
            </w:r>
          </w:p>
          <w:p w14:paraId="71A4DF4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a) pontja.</w:t>
            </w:r>
          </w:p>
          <w:p w14:paraId="5D179C6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Az 575/2013/EU rendelet 36. cikke (1) </w:t>
            </w:r>
            <w:r w:rsidRPr="008853AD">
              <w:rPr>
                <w:rFonts w:ascii="Times New Roman" w:hAnsi="Times New Roman"/>
                <w:bCs/>
                <w:szCs w:val="22"/>
              </w:rPr>
              <w:t>bekezdésének c) pontja.</w:t>
            </w:r>
          </w:p>
        </w:tc>
      </w:tr>
      <w:tr w:rsidR="00356888" w:rsidRPr="008853AD" w14:paraId="0C552411" w14:textId="77777777">
        <w:tc>
          <w:tcPr>
            <w:tcW w:w="1129" w:type="dxa"/>
            <w:vAlign w:val="center"/>
          </w:tcPr>
          <w:p w14:paraId="77FB55C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19.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929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pénzügyi ágazaton kívüli befolyásoló részesedés, amely meghaladja a szavatolótőke 15 %-át</w:t>
            </w:r>
          </w:p>
          <w:p w14:paraId="56A4D39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10. cikke (1) bekezdésének a) pontja.</w:t>
            </w:r>
          </w:p>
        </w:tc>
      </w:tr>
      <w:tr w:rsidR="00356888" w:rsidRPr="008853AD" w14:paraId="4CF5B3DF" w14:textId="77777777">
        <w:tc>
          <w:tcPr>
            <w:tcW w:w="1129" w:type="dxa"/>
            <w:vAlign w:val="center"/>
          </w:tcPr>
          <w:p w14:paraId="39555EB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20.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6C3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A pénzügyi ágazatbeli szervezetektől eltérő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vállalkozásokban lévő összes befolyásoló részesedés, amely meghaladja a szavatolótőke 60 %-át</w:t>
            </w:r>
          </w:p>
          <w:p w14:paraId="45E3BDD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10. cikke (1) bekezdésének b) pontja.</w:t>
            </w:r>
          </w:p>
        </w:tc>
      </w:tr>
      <w:tr w:rsidR="00356888" w:rsidRPr="008853AD" w14:paraId="5F0D2287" w14:textId="77777777">
        <w:tc>
          <w:tcPr>
            <w:tcW w:w="1129" w:type="dxa"/>
            <w:vAlign w:val="center"/>
          </w:tcPr>
          <w:p w14:paraId="09024DA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21.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B8C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Pénzügyi ágazatbeli olyan szervezetek által kibocsátott elsődleges alapvető (CET1) tőkei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nstrumentumok, amelyekben az intézmény nem rendelkezik jelentős részesedéssel</w:t>
            </w:r>
          </w:p>
          <w:p w14:paraId="4AE1FA6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5A508BB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36. cikke (1) bekezdésének h) pontja.</w:t>
            </w:r>
          </w:p>
        </w:tc>
      </w:tr>
      <w:tr w:rsidR="00356888" w:rsidRPr="008853AD" w14:paraId="7DBFF987" w14:textId="77777777">
        <w:tc>
          <w:tcPr>
            <w:tcW w:w="1129" w:type="dxa"/>
            <w:vAlign w:val="center"/>
          </w:tcPr>
          <w:p w14:paraId="15F28B9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22.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943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Meghatározott szolgáltatást nyújtó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nyugdíjalapban lévő eszközök</w:t>
            </w:r>
          </w:p>
          <w:p w14:paraId="2D00E27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b) pontja.</w:t>
            </w:r>
          </w:p>
          <w:p w14:paraId="15FBF3A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36. cikke (1) bekezdésének e) pontja.</w:t>
            </w:r>
          </w:p>
        </w:tc>
      </w:tr>
      <w:tr w:rsidR="00356888" w:rsidRPr="008853AD" w14:paraId="14E56705" w14:textId="77777777">
        <w:tc>
          <w:tcPr>
            <w:tcW w:w="1129" w:type="dxa"/>
            <w:vAlign w:val="center"/>
          </w:tcPr>
          <w:p w14:paraId="48D4AD6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color w:val="000000"/>
                <w:szCs w:val="22"/>
              </w:rPr>
              <w:t>23.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F78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levonások</w:t>
            </w:r>
          </w:p>
          <w:p w14:paraId="6681995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36. cikkének (1) bekezdésében felsorolt egyéb levoná</w:t>
            </w:r>
            <w:r w:rsidRPr="008853AD">
              <w:rPr>
                <w:rFonts w:ascii="Times New Roman" w:hAnsi="Times New Roman"/>
                <w:szCs w:val="22"/>
              </w:rPr>
              <w:t>sok összege.</w:t>
            </w:r>
          </w:p>
        </w:tc>
      </w:tr>
      <w:tr w:rsidR="00356888" w:rsidRPr="008853AD" w14:paraId="0BD948B5" w14:textId="77777777">
        <w:tc>
          <w:tcPr>
            <w:tcW w:w="1129" w:type="dxa"/>
          </w:tcPr>
          <w:p w14:paraId="3FADE35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24.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4C4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Elsődleges alapvető tőke (CET1): egyéb tőkeelemek, levonások és kiigazítások</w:t>
            </w:r>
          </w:p>
          <w:p w14:paraId="5FD82B6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következő tételek összegét tartalmazza, amennyiben alkalmazandó:</w:t>
            </w:r>
          </w:p>
          <w:p w14:paraId="030728A8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Szerzett jogok alapján figyelembe vett CET1 tőkeinstrumentumok miatti </w:t>
            </w:r>
            <w:r w:rsidRPr="008853AD">
              <w:rPr>
                <w:rFonts w:ascii="Times New Roman" w:hAnsi="Times New Roman"/>
                <w:bCs/>
              </w:rPr>
              <w:t>átmeneti kiigazítások (az 575/2013/EU rendelet 483. cikkének (1), (2) és (3) bekezdése, valamint 484–487. cikke).</w:t>
            </w:r>
          </w:p>
          <w:p w14:paraId="44AF54A7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CET1 tőke egyéb átmeneti kiigazításai (az 575/2013/EU rendelet 469–478. és 481. cikke): a CET1 tőkéből történő levonásokban az átmeneti re</w:t>
            </w:r>
            <w:r w:rsidRPr="008853AD">
              <w:rPr>
                <w:rFonts w:ascii="Times New Roman" w:hAnsi="Times New Roman"/>
                <w:bCs/>
              </w:rPr>
              <w:t>ndelkezések miatt végrehajtott kiigazítások.</w:t>
            </w:r>
          </w:p>
          <w:p w14:paraId="154F572D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CET1 tőkeelemek vagy levonások CET1 tőkeelemekből, amelyek nem sorolhatók a 4–23. sorok egyikébe sem.</w:t>
            </w:r>
          </w:p>
          <w:p w14:paraId="1FD00EE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Ez a sor nem használható az (EU) 2019/2033 rendelet vagy az 575/2013/EU rendelet hatálya alá nem </w:t>
            </w:r>
            <w:r w:rsidRPr="008853AD">
              <w:rPr>
                <w:rFonts w:ascii="Times New Roman" w:hAnsi="Times New Roman"/>
                <w:bCs/>
                <w:szCs w:val="22"/>
              </w:rPr>
              <w:t>tartozó tőkeelemeknek vagy levonásoknak a tőkemegfelelési mutató kiszámítása során történő figyelembevételére.</w:t>
            </w:r>
          </w:p>
        </w:tc>
      </w:tr>
      <w:tr w:rsidR="00356888" w:rsidRPr="008853AD" w14:paraId="142D4190" w14:textId="77777777">
        <w:tc>
          <w:tcPr>
            <w:tcW w:w="1129" w:type="dxa"/>
          </w:tcPr>
          <w:p w14:paraId="29C6FA7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25.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4196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KIEGÉSZÍTŐ ALAPVETŐ TŐKE (AT1)</w:t>
            </w:r>
          </w:p>
          <w:p w14:paraId="53CF3A4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bekezdése.</w:t>
            </w:r>
          </w:p>
          <w:p w14:paraId="4FFC19B9" w14:textId="77777777" w:rsidR="00356888" w:rsidRPr="008853AD" w:rsidRDefault="008853AD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61. cikke.</w:t>
            </w:r>
          </w:p>
          <w:p w14:paraId="1573BD2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26–28. és a 32. so</w:t>
            </w:r>
            <w:r w:rsidRPr="008853AD">
              <w:rPr>
                <w:rFonts w:ascii="Times New Roman" w:hAnsi="Times New Roman"/>
                <w:bCs/>
                <w:szCs w:val="22"/>
              </w:rPr>
              <w:t>r teljes összegét kell megadni.</w:t>
            </w:r>
          </w:p>
        </w:tc>
      </w:tr>
      <w:tr w:rsidR="00356888" w:rsidRPr="008853AD" w14:paraId="6E8D26B4" w14:textId="77777777">
        <w:tc>
          <w:tcPr>
            <w:tcW w:w="1129" w:type="dxa"/>
          </w:tcPr>
          <w:p w14:paraId="2738FF7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26.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D3D0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Befizetett tőkeinstrumentumok</w:t>
            </w:r>
          </w:p>
          <w:p w14:paraId="210A928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2DA50BBB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51. cikkének a) pontja és 52., 53. és 54. cikke.</w:t>
            </w:r>
          </w:p>
          <w:p w14:paraId="2FBFDCF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 feltüntetendő érték nem foglalhatja magában 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instrumentumokhoz kapcsolódó ázsiót.</w:t>
            </w:r>
          </w:p>
        </w:tc>
      </w:tr>
      <w:tr w:rsidR="00356888" w:rsidRPr="008853AD" w14:paraId="347A1099" w14:textId="77777777">
        <w:tc>
          <w:tcPr>
            <w:tcW w:w="1129" w:type="dxa"/>
          </w:tcPr>
          <w:p w14:paraId="3812B6F6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27.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C0A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7B49875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4EDABE72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(51) bekezdésének b) pontja.</w:t>
            </w:r>
          </w:p>
          <w:p w14:paraId="38C8F627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éssel.</w:t>
            </w:r>
          </w:p>
          <w:p w14:paraId="10980EB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befizetett tőkeinstrumentumokhoz kapcsolódó rész.</w:t>
            </w:r>
          </w:p>
        </w:tc>
      </w:tr>
      <w:tr w:rsidR="00356888" w:rsidRPr="008853AD" w14:paraId="145775D1" w14:textId="77777777">
        <w:tc>
          <w:tcPr>
            <w:tcW w:w="1129" w:type="dxa"/>
          </w:tcPr>
          <w:p w14:paraId="49DB904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28.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BC83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KIEGÉSZÍTŐ ALAPVETŐ TŐKÉBŐL VALÓ LEVONÁSOK ÖSSZESEN</w:t>
            </w:r>
          </w:p>
          <w:p w14:paraId="1B7BE10F" w14:textId="77777777" w:rsidR="00356888" w:rsidRPr="008853AD" w:rsidRDefault="008853AD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56. cikke.</w:t>
            </w:r>
          </w:p>
          <w:p w14:paraId="7A75CD7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 29–31. sor teljes összegét kell megadni.</w:t>
            </w:r>
          </w:p>
        </w:tc>
      </w:tr>
      <w:tr w:rsidR="00356888" w:rsidRPr="008853AD" w14:paraId="610E2C85" w14:textId="77777777">
        <w:tc>
          <w:tcPr>
            <w:tcW w:w="1129" w:type="dxa"/>
          </w:tcPr>
          <w:p w14:paraId="7A4F9FE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29.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431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(–)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Saját elsődleges alapvető (AT1) tőkeinstrumentumok</w:t>
            </w:r>
          </w:p>
          <w:p w14:paraId="53DCC1B8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5700984B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52. cikke (1) bekezdésének b) pontja, 56. cikkének a) pontja és 57. cikke.</w:t>
            </w:r>
          </w:p>
          <w:p w14:paraId="4CDF5707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befektetési vállalkozás saját AT1 tőkein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strumentumai az adatszolgáltatás vonatkozási időpontjában. Az 575/2013/EU rendelet 57. cikkében foglalt kivételek figyelembevételével.</w:t>
            </w:r>
          </w:p>
          <w:p w14:paraId="2F1A82F5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magában foglalja a saját részvényekhez kapcsolódó ázsiót.</w:t>
            </w:r>
          </w:p>
          <w:p w14:paraId="271EBB8F" w14:textId="77777777" w:rsidR="00356888" w:rsidRPr="008853AD" w:rsidRDefault="00356888">
            <w:pPr>
              <w:pStyle w:val="InstructionsText"/>
            </w:pPr>
          </w:p>
        </w:tc>
      </w:tr>
      <w:tr w:rsidR="00356888" w:rsidRPr="008853AD" w14:paraId="705337D4" w14:textId="77777777">
        <w:tc>
          <w:tcPr>
            <w:tcW w:w="1129" w:type="dxa"/>
          </w:tcPr>
          <w:p w14:paraId="77CEE6C5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30.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087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Pénzügyi ágazatbeli olyan szerv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ezetek által kibocsátott elsődleges alapvető (AT1) tőkeinstrumentumok, amelyekben az intézmény nem rendelkezik jelentős részesedéssel</w:t>
            </w:r>
          </w:p>
          <w:p w14:paraId="32E931C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37270E0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56. cikkének c) pontja.</w:t>
            </w:r>
          </w:p>
        </w:tc>
      </w:tr>
      <w:tr w:rsidR="00356888" w:rsidRPr="008853AD" w14:paraId="3E24982E" w14:textId="77777777">
        <w:tc>
          <w:tcPr>
            <w:tcW w:w="1129" w:type="dxa"/>
          </w:tcPr>
          <w:p w14:paraId="4391ACD0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31.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F778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Egyéb levonások</w:t>
            </w:r>
          </w:p>
          <w:p w14:paraId="6EB8AF2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Az 575/2013/EU rendelet 56. cikke szerinti összes egyéb levonás összege, kivéve az 575/2013/EU rendelet 56. cikkének d) pontja szerinti levonásokat, amelyek nem szerepelnek a fenti 0340. vagy 0380. sorokban.</w:t>
            </w:r>
          </w:p>
        </w:tc>
      </w:tr>
      <w:tr w:rsidR="00356888" w:rsidRPr="008853AD" w14:paraId="4CC8B428" w14:textId="77777777">
        <w:tc>
          <w:tcPr>
            <w:tcW w:w="1129" w:type="dxa"/>
          </w:tcPr>
          <w:p w14:paraId="1CEEDFE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32.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37F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Kiegészítő 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alapvető tőke (AT1): egyéb tőkeelemek, levonások és kiigazítások</w:t>
            </w:r>
          </w:p>
          <w:p w14:paraId="169C4F9A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a következő tételek összegét tartalmazza, amennyiben alkalmazandó:</w:t>
            </w:r>
          </w:p>
          <w:p w14:paraId="05A6971F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Szerzett jogok alapján figyelembe vett AT1 tőkeinstrumentumok miatti átmeneti kiigazítások (az 575/2013/EU rendel</w:t>
            </w:r>
            <w:r w:rsidRPr="008853AD">
              <w:rPr>
                <w:rFonts w:ascii="Times New Roman" w:hAnsi="Times New Roman"/>
                <w:bCs/>
              </w:rPr>
              <w:t>et 483. cikkének (4) és (5) bekezdése, 484–487. cikke, valamint 489. és 491. cikke).</w:t>
            </w:r>
          </w:p>
          <w:p w14:paraId="6300415F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Az AT1 tőke egyéb átmeneti kiigazításai (az 575/2013/EU rendelet 472., 473a., 474., 475., 478. és 481. cikke): a levonásoknak az átmeneti rendelkezések miatti kiigazítás</w:t>
            </w:r>
            <w:r w:rsidRPr="008853AD">
              <w:rPr>
                <w:rFonts w:ascii="Times New Roman" w:hAnsi="Times New Roman"/>
                <w:bCs/>
              </w:rPr>
              <w:t>ai.</w:t>
            </w:r>
          </w:p>
          <w:p w14:paraId="1BD8D3CC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Az AT1 tőkeelemekből az AT1 tőkét meghaladó többletlevonások, amelyeket az 575/2013/EU rendelet 36. cikke (1) bekezdése j) pontjának megfelelően az elsődleges alapvető tőkéből kell levonni: a kiegészítő alapvető tőke nem lehet negatív, de </w:t>
            </w:r>
            <w:r w:rsidRPr="008853AD">
              <w:rPr>
                <w:rFonts w:ascii="Times New Roman" w:hAnsi="Times New Roman"/>
                <w:bCs/>
              </w:rPr>
              <w:t>előfordulhat, hogy az AT1 tőkéből történő levonások meghaladják a rendelkezésre álló AT1 tőkeelemek összegét. Ilyen esetben ez a tétel a 0300. sorban feltüntetett összeg nullára növeléséhez szükséges összeget jelenti, és egyenlő az AT1 tőkeelemekből az AT1</w:t>
            </w:r>
            <w:r w:rsidRPr="008853AD">
              <w:rPr>
                <w:rFonts w:ascii="Times New Roman" w:hAnsi="Times New Roman"/>
                <w:bCs/>
              </w:rPr>
              <w:t xml:space="preserve"> tőkét meghaladó, más levonásokkal együtt a 23. sorban feltüntetett többletlevonások fordított előjelű összegével.</w:t>
            </w:r>
          </w:p>
          <w:p w14:paraId="6841FD5E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AT1 tőkeelemek vagy levonások AT1 elemekből, amelyek nem sorolhatók a 26–31. sorok egyikébe sem.</w:t>
            </w:r>
          </w:p>
          <w:p w14:paraId="46A1EB3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Ez a sor nem használható az (EU) 201</w:t>
            </w:r>
            <w:r w:rsidRPr="008853AD">
              <w:rPr>
                <w:rFonts w:ascii="Times New Roman" w:hAnsi="Times New Roman"/>
                <w:bCs/>
                <w:szCs w:val="22"/>
              </w:rPr>
              <w:t>9/2033 rendelet vagy az 575/2013/EU rendelet hatálya alá nem tartozó tőkeelemeknek vagy levonásoknak a tőkemegfelelési mutató kiszámítása során történő figyelembevételére.</w:t>
            </w:r>
          </w:p>
        </w:tc>
      </w:tr>
      <w:tr w:rsidR="00356888" w:rsidRPr="008853AD" w14:paraId="371B0542" w14:textId="77777777">
        <w:tc>
          <w:tcPr>
            <w:tcW w:w="1129" w:type="dxa"/>
          </w:tcPr>
          <w:p w14:paraId="4AB437F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33.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41C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TŐKE (TIER 2, T2 TŐKE)</w:t>
            </w:r>
          </w:p>
          <w:p w14:paraId="0990AEEB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cikkének (1) bek</w:t>
            </w:r>
            <w:r w:rsidRPr="008853AD">
              <w:rPr>
                <w:rFonts w:ascii="Times New Roman" w:hAnsi="Times New Roman"/>
                <w:bCs/>
                <w:szCs w:val="22"/>
              </w:rPr>
              <w:t>ezdése.</w:t>
            </w:r>
          </w:p>
          <w:p w14:paraId="0E9325A5" w14:textId="77777777" w:rsidR="00356888" w:rsidRPr="008853AD" w:rsidRDefault="008853AD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71. cikke.</w:t>
            </w:r>
          </w:p>
          <w:p w14:paraId="3E17EE3A" w14:textId="77777777" w:rsidR="00356888" w:rsidRPr="008853AD" w:rsidRDefault="008853AD">
            <w:pPr>
              <w:pStyle w:val="CommentText"/>
              <w:rPr>
                <w:sz w:val="22"/>
                <w:szCs w:val="22"/>
              </w:rPr>
            </w:pPr>
            <w:r w:rsidRPr="008853AD">
              <w:rPr>
                <w:rFonts w:ascii="Times New Roman" w:hAnsi="Times New Roman"/>
                <w:sz w:val="22"/>
                <w:szCs w:val="22"/>
              </w:rPr>
              <w:t>A 34–36. és a 39. sor teljes összegét kell megadni.</w:t>
            </w:r>
          </w:p>
        </w:tc>
      </w:tr>
      <w:tr w:rsidR="00356888" w:rsidRPr="008853AD" w14:paraId="05F6D7D5" w14:textId="77777777">
        <w:tc>
          <w:tcPr>
            <w:tcW w:w="1129" w:type="dxa"/>
          </w:tcPr>
          <w:p w14:paraId="22A574D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34.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467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Teljes egészében befizetett, közvetlenül kibocsátott tőkeinstrumentumok</w:t>
            </w:r>
          </w:p>
          <w:p w14:paraId="6DBF73E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64CE9752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575/2013/EU rendelet 62. cikkének a) pontja, valamint 63. és 65. cikke.</w:t>
            </w:r>
          </w:p>
          <w:p w14:paraId="6490115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nem foglalhatja magában az instrumentumokhoz kapcsolódó ázsiót.</w:t>
            </w:r>
          </w:p>
        </w:tc>
      </w:tr>
      <w:tr w:rsidR="00356888" w:rsidRPr="008853AD" w14:paraId="7E6F7956" w14:textId="77777777">
        <w:tc>
          <w:tcPr>
            <w:tcW w:w="1129" w:type="dxa"/>
          </w:tcPr>
          <w:p w14:paraId="69C2BEF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35.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4F6F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Ázsió</w:t>
            </w:r>
          </w:p>
          <w:p w14:paraId="5F08496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5BF442BD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575/2013/EU rendelet 62. cikkének b) pontja és 65. cikke.</w:t>
            </w:r>
          </w:p>
          <w:p w14:paraId="44B13C74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ázsió jelentése egyezik az alkalmazandó számviteli szabályozás szerinti jelentéssel.</w:t>
            </w:r>
          </w:p>
          <w:p w14:paraId="5E690847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ebben az elemben feltüntetendő érték a befizetett tőkeinstrumentumokhoz kapcsolódó rész.</w:t>
            </w:r>
          </w:p>
        </w:tc>
      </w:tr>
      <w:tr w:rsidR="00356888" w:rsidRPr="008853AD" w14:paraId="1DEE21E5" w14:textId="77777777">
        <w:tc>
          <w:tcPr>
            <w:tcW w:w="1129" w:type="dxa"/>
          </w:tcPr>
          <w:p w14:paraId="158EC78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36.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BC6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A JÁRULÉK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OS TŐKÉBŐL (TIER 2, T2) VALÓ LEVONÁSOK ÖSSZESEN</w:t>
            </w:r>
          </w:p>
          <w:p w14:paraId="15B00CF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szCs w:val="22"/>
              </w:rPr>
              <w:t>Az 575/2013/EU rendelet 66. cikke.</w:t>
            </w:r>
          </w:p>
        </w:tc>
      </w:tr>
      <w:tr w:rsidR="00356888" w:rsidRPr="008853AD" w14:paraId="60868121" w14:textId="77777777">
        <w:tc>
          <w:tcPr>
            <w:tcW w:w="1129" w:type="dxa"/>
          </w:tcPr>
          <w:p w14:paraId="53971094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37.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D50E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Saját T2 tőkeinstrumentumok</w:t>
            </w:r>
          </w:p>
          <w:p w14:paraId="41F16B61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(1) bekezdésének i. pontja.</w:t>
            </w:r>
          </w:p>
          <w:p w14:paraId="65B1344A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Az 575/2013/EU rendelet 63. cikke b) pontjának i. alpontja, 66. 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cikkének a) pontja és 67. cikke.</w:t>
            </w:r>
          </w:p>
          <w:p w14:paraId="5A2FE2BB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Az adatot szolgáltató intézmény vagy csoport saját T2 tőkeinstrumentumai az adatszolgáltatás vonatkozási időpontjában. Az 575/2013/EU rendelet 67. cikkében foglalt kivételek figyelembevételével.</w:t>
            </w:r>
          </w:p>
          <w:p w14:paraId="7A1A16B1" w14:textId="77777777" w:rsidR="00356888" w:rsidRPr="008853AD" w:rsidRDefault="008853A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Ebben a sorban nem tüntethet</w:t>
            </w: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ők fel a „Figyelembe nem vehető tőkeinstrumentum”-ként szerepeltetett részvények.</w:t>
            </w:r>
          </w:p>
          <w:p w14:paraId="55E580AE" w14:textId="77777777" w:rsidR="00356888" w:rsidRPr="008853AD" w:rsidRDefault="008853AD">
            <w:pPr>
              <w:pStyle w:val="InstructionsText"/>
            </w:pPr>
            <w:r w:rsidRPr="008853A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magában foglalja a saját részvényekhez kapcsolódó ázsiót.</w:t>
            </w:r>
          </w:p>
        </w:tc>
      </w:tr>
      <w:tr w:rsidR="00356888" w:rsidRPr="008853AD" w14:paraId="28C880F8" w14:textId="77777777">
        <w:tc>
          <w:tcPr>
            <w:tcW w:w="1129" w:type="dxa"/>
          </w:tcPr>
          <w:p w14:paraId="2314BABD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lastRenderedPageBreak/>
              <w:t>38.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C9FC7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(–) Pénzügyi ágazatbeli olyan szervezetek által kibocsátott T2 tőkeinstrumentumok, amelye</w:t>
            </w: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kben az intézmény nem rendelkezik jelentős részesedéssel</w:t>
            </w:r>
          </w:p>
          <w:p w14:paraId="2F9A7B32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(EU) 2019/2033 rendelet 9. cikke (2) bekezdésének c) pontja.</w:t>
            </w:r>
          </w:p>
          <w:p w14:paraId="5475083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Az 575/2013/EU rendelet 66. cikkének c) pontja.</w:t>
            </w:r>
          </w:p>
        </w:tc>
      </w:tr>
      <w:tr w:rsidR="00356888" w:rsidRPr="008853AD" w14:paraId="317CF041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F0867E9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>39.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729D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/>
                <w:bCs/>
                <w:szCs w:val="22"/>
                <w:u w:val="single"/>
              </w:rPr>
              <w:t>Járulékos tőke (Tier 2, T2): egyéb tőkeelemek, levonások és kiigazítások</w:t>
            </w:r>
          </w:p>
          <w:p w14:paraId="0C5DE36C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Ez a sor </w:t>
            </w:r>
            <w:r w:rsidRPr="008853AD">
              <w:rPr>
                <w:rFonts w:ascii="Times New Roman" w:hAnsi="Times New Roman"/>
                <w:bCs/>
                <w:szCs w:val="22"/>
              </w:rPr>
              <w:t>a következő tételek összegét tartalmazza, amennyiben alkalmazandó:</w:t>
            </w:r>
          </w:p>
          <w:p w14:paraId="08EA5B83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 xml:space="preserve">Szerzett jogok alapján figyelembe vett T2 tőkeinstrumentumok miatti átmeneti kiigazítások (az 575/2013/EU rendelet 483. cikkének (6) és (7) bekezdése, 484., 486., 488., 490. és 491. </w:t>
            </w:r>
            <w:r w:rsidRPr="008853AD">
              <w:rPr>
                <w:rFonts w:ascii="Times New Roman" w:hAnsi="Times New Roman"/>
                <w:bCs/>
              </w:rPr>
              <w:t>cikke).</w:t>
            </w:r>
          </w:p>
          <w:p w14:paraId="21C569B0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T2 tőke egyéb átmeneti kiigazításai (az 575/2013/EU rendelet 472., 473a., 476., 477., 478. és 481. cikke): a T2 tőkéből történő levonásokban az átmeneti rendelkezések miatt végrehajtott kiigazítások.</w:t>
            </w:r>
          </w:p>
          <w:p w14:paraId="2D744826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A T2 tőkeelemekből a T2 tőkét meghaladó tö</w:t>
            </w:r>
            <w:r w:rsidRPr="008853AD">
              <w:rPr>
                <w:rFonts w:ascii="Times New Roman" w:hAnsi="Times New Roman"/>
                <w:bCs/>
              </w:rPr>
              <w:t>bbletlevonások, amelyeket az 575/2013/EU rendelet 56. cikke e) pontjának megfelelően a kiegészítő alapvető tőkéből kell levonni: a T2 tőke nem lehet negatív, de előfordulhat, hogy a T2 tőkéből történő levonások meghaladják a rendelkezésre álló T2 tőkeeleme</w:t>
            </w:r>
            <w:r w:rsidRPr="008853AD">
              <w:rPr>
                <w:rFonts w:ascii="Times New Roman" w:hAnsi="Times New Roman"/>
                <w:bCs/>
              </w:rPr>
              <w:t>k összegét. Ilyen esetekben ez a tétel a 33. sorban feltüntetett összeg nullára növeléséhez szükséges összeget jelenti.</w:t>
            </w:r>
          </w:p>
          <w:p w14:paraId="6100B105" w14:textId="77777777" w:rsidR="00356888" w:rsidRPr="008853AD" w:rsidRDefault="008853AD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>–</w:t>
            </w:r>
            <w:r w:rsidRPr="008853AD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8853AD">
              <w:rPr>
                <w:rFonts w:ascii="Times New Roman" w:hAnsi="Times New Roman"/>
                <w:bCs/>
              </w:rPr>
              <w:t>Egyéb T2 tőkeelemek vagy levonások T2 elemekből, amelyek nem sorolhatók a 34–38. sorok egyikébe sem.</w:t>
            </w:r>
          </w:p>
          <w:p w14:paraId="7293F723" w14:textId="77777777" w:rsidR="00356888" w:rsidRPr="008853AD" w:rsidRDefault="008853AD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8853AD">
              <w:rPr>
                <w:rFonts w:ascii="Times New Roman" w:hAnsi="Times New Roman"/>
                <w:bCs/>
                <w:szCs w:val="22"/>
              </w:rPr>
              <w:t xml:space="preserve">Ez a sor nem </w:t>
            </w:r>
            <w:r w:rsidRPr="008853AD">
              <w:rPr>
                <w:rFonts w:ascii="Times New Roman" w:hAnsi="Times New Roman"/>
                <w:bCs/>
                <w:szCs w:val="22"/>
              </w:rPr>
              <w:t>használható az (EU) 2019/2033 rendelet vagy az 575/2013/EU rendelet hatálya alá nem tartozó tőkeelemeknek vagy levonásoknak a tőkemegfelelési mutató kiszámítása során történő figyelembevételére.</w:t>
            </w:r>
          </w:p>
        </w:tc>
      </w:tr>
    </w:tbl>
    <w:p w14:paraId="2119AEE1" w14:textId="77777777" w:rsidR="00356888" w:rsidRPr="008853AD" w:rsidRDefault="00356888">
      <w:pPr>
        <w:rPr>
          <w:rFonts w:ascii="Times New Roman" w:hAnsi="Times New Roman" w:cs="Times New Roman"/>
          <w:b/>
          <w:bCs/>
          <w:sz w:val="24"/>
        </w:rPr>
      </w:pPr>
    </w:p>
    <w:p w14:paraId="7156A93B" w14:textId="77777777" w:rsidR="00356888" w:rsidRPr="008853AD" w:rsidRDefault="008853AD">
      <w:pPr>
        <w:rPr>
          <w:rFonts w:ascii="Times New Roman" w:hAnsi="Times New Roman" w:cs="Times New Roman"/>
          <w:b/>
          <w:bCs/>
          <w:sz w:val="24"/>
        </w:rPr>
      </w:pPr>
      <w:r w:rsidRPr="008853AD">
        <w:rPr>
          <w:rFonts w:ascii="Times New Roman" w:hAnsi="Times New Roman"/>
          <w:b/>
          <w:bCs/>
          <w:sz w:val="24"/>
        </w:rPr>
        <w:t>EU I CC2 tábla – A szabályozói szavatolótőke egyeztetése az</w:t>
      </w:r>
      <w:r w:rsidRPr="008853AD">
        <w:rPr>
          <w:rFonts w:ascii="Times New Roman" w:hAnsi="Times New Roman"/>
          <w:b/>
          <w:bCs/>
          <w:sz w:val="24"/>
        </w:rPr>
        <w:t xml:space="preserve"> auditált pénzügyi kimutatásokban szereplő mérleggel</w:t>
      </w:r>
    </w:p>
    <w:p w14:paraId="24A71ED1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7.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befektetési vállalkozásoknak az (EU) 2019/2033 rendelet 49. cikke (1) bekezdése a) pontjának megfelelően az e mellékletben megadott útmutatót kell használniuk a VI. mellékletben található EU I CC2 t</w:t>
      </w:r>
      <w:r w:rsidRPr="008853AD">
        <w:rPr>
          <w:rFonts w:ascii="Times New Roman" w:hAnsi="Times New Roman"/>
          <w:bCs/>
          <w:sz w:val="24"/>
        </w:rPr>
        <w:t>ábla kitöltéséhez.</w:t>
      </w:r>
    </w:p>
    <w:p w14:paraId="3A55FE6F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8.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befektetési vállalkozásoknak a közzétett pénzügyi kimutatásaikban foglalt mérleget kell nyilvánosságra hozniuk. Ezek a pénzügyi kimutatások az év végi nyilvánosságra hozatal célját szolgáló auditált pénzügyi kimutatások.</w:t>
      </w:r>
    </w:p>
    <w:p w14:paraId="100EBF3F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9.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 xml:space="preserve">A tábla </w:t>
      </w:r>
      <w:r w:rsidRPr="008853AD">
        <w:rPr>
          <w:rFonts w:ascii="Times New Roman" w:hAnsi="Times New Roman"/>
          <w:bCs/>
          <w:sz w:val="24"/>
        </w:rPr>
        <w:t>sorai rugalmasan tölthetők ki, és azokat a befektetési vállalkozásoknak a pénzügyi kimutatásaikkal összhangban kell nyilvánosságra hozniuk. Az auditált pénzügyi kimutatásokban található szavatolótőke-elemeknek tartalmazniuk kell mindazokat az elemeket, ame</w:t>
      </w:r>
      <w:r w:rsidRPr="008853AD">
        <w:rPr>
          <w:rFonts w:ascii="Times New Roman" w:hAnsi="Times New Roman"/>
          <w:bCs/>
          <w:sz w:val="24"/>
        </w:rPr>
        <w:t xml:space="preserve">lyek a szabályozói tőke összetevői vagy abból kerülnek levonásra, beleértve a saját tőkét, a kötelezettségeket, mint például az adósságot, vagy egyéb olyan mérlegtételeket, amelyek érintik a szabályozói tőkét, így például </w:t>
      </w:r>
      <w:r w:rsidRPr="008853AD">
        <w:rPr>
          <w:rFonts w:ascii="Times New Roman" w:hAnsi="Times New Roman"/>
          <w:bCs/>
          <w:sz w:val="24"/>
        </w:rPr>
        <w:lastRenderedPageBreak/>
        <w:t xml:space="preserve">immateriális javakat, cégértéket, </w:t>
      </w:r>
      <w:r w:rsidRPr="008853AD">
        <w:rPr>
          <w:rFonts w:ascii="Times New Roman" w:hAnsi="Times New Roman"/>
          <w:bCs/>
          <w:sz w:val="24"/>
        </w:rPr>
        <w:t>halasztott adóköveteléseket. A befektetési vállalkozásoknak szükség szerint ki kell bővíteniük a mérleg szavatolótőke-elemeit annak biztosítása érdekében, hogy a szavatolótőke összetételének nyilvánosságra hozatalához használt táblában (EU I CC1 tábla) sze</w:t>
      </w:r>
      <w:r w:rsidRPr="008853AD">
        <w:rPr>
          <w:rFonts w:ascii="Times New Roman" w:hAnsi="Times New Roman"/>
          <w:bCs/>
          <w:sz w:val="24"/>
        </w:rPr>
        <w:t>replő valamennyi összetevő külön feltüntethető legyen. A befektetési vállalkozásoknak a mérleg elemeit csak olyan tagoltsági szintig kell kibővíteniük, amely szükséges ahhoz, hogy le tudják vezetni az EU I CC1 táblában előírt összetevőket. A nyilvánosságra</w:t>
      </w:r>
      <w:r w:rsidRPr="008853AD">
        <w:rPr>
          <w:rFonts w:ascii="Times New Roman" w:hAnsi="Times New Roman"/>
          <w:bCs/>
          <w:sz w:val="24"/>
        </w:rPr>
        <w:t xml:space="preserve"> hozatalnak arányosnak kell lennie a befektetési vállalkozás mérlegének összetettségével.</w:t>
      </w:r>
    </w:p>
    <w:p w14:paraId="20CB7BFA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10.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Az oszlopok kötött formátumúak, és azokat a következőképpen kell nyilvánosságra hozni:</w:t>
      </w:r>
    </w:p>
    <w:p w14:paraId="395FE01E" w14:textId="77777777" w:rsidR="00356888" w:rsidRPr="008853AD" w:rsidRDefault="008853AD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8853AD">
        <w:rPr>
          <w:rFonts w:ascii="Times New Roman" w:hAnsi="Times New Roman" w:cs="Times New Roman"/>
          <w:sz w:val="24"/>
        </w:rPr>
        <w:t>a.</w:t>
      </w:r>
      <w:r w:rsidRPr="008853AD">
        <w:rPr>
          <w:rFonts w:ascii="Times New Roman" w:hAnsi="Times New Roman" w:cs="Times New Roman"/>
          <w:sz w:val="24"/>
        </w:rPr>
        <w:tab/>
      </w:r>
      <w:r w:rsidRPr="008853AD">
        <w:rPr>
          <w:rFonts w:ascii="Times New Roman" w:hAnsi="Times New Roman"/>
          <w:sz w:val="24"/>
        </w:rPr>
        <w:t xml:space="preserve">„a” oszlop: A befektetési vállalkozásoknak itt az auditált </w:t>
      </w:r>
      <w:r w:rsidRPr="008853AD">
        <w:rPr>
          <w:rFonts w:ascii="Times New Roman" w:hAnsi="Times New Roman"/>
          <w:sz w:val="24"/>
        </w:rPr>
        <w:t>pénzügyi kimutatásaikban foglalt mérlegben szereplő számadatokat kell feltüntetniük a számviteli konszolidáció hatókörének megfelelően.</w:t>
      </w:r>
    </w:p>
    <w:p w14:paraId="2E259E84" w14:textId="77777777" w:rsidR="00356888" w:rsidRPr="008853AD" w:rsidRDefault="008853AD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8853AD">
        <w:rPr>
          <w:rFonts w:ascii="Times New Roman" w:hAnsi="Times New Roman" w:cs="Times New Roman"/>
          <w:sz w:val="24"/>
        </w:rPr>
        <w:t>b.</w:t>
      </w:r>
      <w:r w:rsidRPr="008853AD">
        <w:rPr>
          <w:rFonts w:ascii="Times New Roman" w:hAnsi="Times New Roman" w:cs="Times New Roman"/>
          <w:sz w:val="24"/>
        </w:rPr>
        <w:tab/>
      </w:r>
      <w:r w:rsidRPr="008853AD">
        <w:rPr>
          <w:rFonts w:ascii="Times New Roman" w:hAnsi="Times New Roman"/>
          <w:sz w:val="24"/>
        </w:rPr>
        <w:t>„b” oszlop: A befektetési vállalkozásoknak a szabályozói konszolidáció hatókörének megfelelő számadatokat kell megadn</w:t>
      </w:r>
      <w:r w:rsidRPr="008853AD">
        <w:rPr>
          <w:rFonts w:ascii="Times New Roman" w:hAnsi="Times New Roman"/>
          <w:sz w:val="24"/>
        </w:rPr>
        <w:t>iuk.</w:t>
      </w:r>
    </w:p>
    <w:p w14:paraId="743EE998" w14:textId="77777777" w:rsidR="00356888" w:rsidRPr="008853AD" w:rsidRDefault="008853AD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8853AD">
        <w:rPr>
          <w:rFonts w:ascii="Times New Roman" w:hAnsi="Times New Roman" w:cs="Times New Roman"/>
          <w:sz w:val="24"/>
        </w:rPr>
        <w:t>c.</w:t>
      </w:r>
      <w:r w:rsidRPr="008853AD">
        <w:rPr>
          <w:rFonts w:ascii="Times New Roman" w:hAnsi="Times New Roman" w:cs="Times New Roman"/>
          <w:sz w:val="24"/>
        </w:rPr>
        <w:tab/>
      </w:r>
      <w:r w:rsidRPr="008853AD">
        <w:rPr>
          <w:rFonts w:ascii="Times New Roman" w:hAnsi="Times New Roman"/>
          <w:sz w:val="24"/>
        </w:rPr>
        <w:t xml:space="preserve">„c” oszlop: A befektetési vállalkozásoknak itt az EU I CC2 táblában szavatolótőkeként megadott tétel és a szavatolótőke nyilvánosságra hozatalára szolgáló EU I CC1 tábla releváns tételei közötti kereszthivatkozást kell megadniuk. Az EU I CC2 tábla </w:t>
      </w:r>
      <w:r w:rsidRPr="008853AD">
        <w:rPr>
          <w:rFonts w:ascii="Times New Roman" w:hAnsi="Times New Roman"/>
          <w:sz w:val="24"/>
        </w:rPr>
        <w:t>„c” oszlopában levő hivatkozás az EU I CC1 tábla „b” oszlopában levő hivatkozáshoz kapcsolódik.</w:t>
      </w:r>
    </w:p>
    <w:p w14:paraId="2C945C8A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11.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következő esetekben, amikor a befektetési vállalkozás számviteli konszolidációjának hatóköre és szabályozói konszolidációjának hatóköre pontosan megegyezi</w:t>
      </w:r>
      <w:r w:rsidRPr="008853AD">
        <w:rPr>
          <w:rFonts w:ascii="Times New Roman" w:hAnsi="Times New Roman"/>
          <w:bCs/>
          <w:sz w:val="24"/>
        </w:rPr>
        <w:t>k, csak az „a” oszlopot kell kitölteni, és ezt a tényt egyértelműen jelezni kell:</w:t>
      </w:r>
    </w:p>
    <w:p w14:paraId="52AED866" w14:textId="77777777" w:rsidR="00356888" w:rsidRPr="008853AD" w:rsidRDefault="008853AD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d.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sz w:val="24"/>
        </w:rPr>
        <w:t>Ha a befektetési vállalkozás összevont alapon teljesíti a befektetési vállalkozásokra vonatkozó prudenciális követelményekről szóló (EU) 2019/2033 rendelet hatodik részébe</w:t>
      </w:r>
      <w:r w:rsidRPr="008853AD">
        <w:rPr>
          <w:rFonts w:ascii="Times New Roman" w:hAnsi="Times New Roman"/>
          <w:sz w:val="24"/>
        </w:rPr>
        <w:t>n meghatározott kötelezettségeket, de a pénzügyi kimutatásokban szereplő mérlegben alkalmazott konszolidáció köre és módszere megegyezik az (EU) 2019/2033 rendelet első része II. címének 2. fejezete alapján meghatározott konszolidációs körrel és módszerrel</w:t>
      </w:r>
      <w:r w:rsidRPr="008853AD">
        <w:rPr>
          <w:rFonts w:ascii="Times New Roman" w:hAnsi="Times New Roman"/>
          <w:sz w:val="24"/>
        </w:rPr>
        <w:t>, és a befektetési vállalkozás a sablont kísérő magyarázatban egyértelműen jelzi, hogy nincs különbség a konszolidáció egyes körei és módszerei között.</w:t>
      </w:r>
    </w:p>
    <w:p w14:paraId="18B098B9" w14:textId="77777777" w:rsidR="00356888" w:rsidRPr="008853AD" w:rsidRDefault="008853AD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e.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sz w:val="24"/>
        </w:rPr>
        <w:t>Ha a befektetési vállalkozás egyedi alapon teljesíti az (EU) 2019/2033 rendelet hatodik részében megh</w:t>
      </w:r>
      <w:r w:rsidRPr="008853AD">
        <w:rPr>
          <w:rFonts w:ascii="Times New Roman" w:hAnsi="Times New Roman"/>
          <w:sz w:val="24"/>
        </w:rPr>
        <w:t>atározott kötelezettségeket.</w:t>
      </w:r>
    </w:p>
    <w:p w14:paraId="49DFB89D" w14:textId="77777777" w:rsidR="00356888" w:rsidRPr="008853AD" w:rsidRDefault="008853AD">
      <w:pPr>
        <w:rPr>
          <w:rFonts w:ascii="Times New Roman" w:hAnsi="Times New Roman" w:cs="Times New Roman"/>
          <w:b/>
          <w:bCs/>
          <w:sz w:val="24"/>
        </w:rPr>
      </w:pPr>
      <w:r w:rsidRPr="008853AD">
        <w:rPr>
          <w:rFonts w:ascii="Times New Roman" w:hAnsi="Times New Roman"/>
          <w:b/>
          <w:bCs/>
          <w:sz w:val="24"/>
        </w:rPr>
        <w:t>EU I CCA tábla – A vállalkozás által kibocsátott saját eszközök főbb jellemzői</w:t>
      </w:r>
    </w:p>
    <w:p w14:paraId="26BA3CD9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12.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 xml:space="preserve">A befektetési vállalkozásoknak az (EU) 2019/2033 rendelet 49. cikke (1) bekezdése b) pontjának megfelelően az e mellékletben megadott útmutatót </w:t>
      </w:r>
      <w:r w:rsidRPr="008853AD">
        <w:rPr>
          <w:rFonts w:ascii="Times New Roman" w:hAnsi="Times New Roman"/>
          <w:bCs/>
          <w:sz w:val="24"/>
        </w:rPr>
        <w:t>kell használniuk a VI. mellékletben található EU I CCA tábla kitöltéséhez.</w:t>
      </w:r>
    </w:p>
    <w:p w14:paraId="51BD1431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lastRenderedPageBreak/>
        <w:t>13.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befektetési vállalkozásoknak a következő kategóriák tekintetében kell kitölteniük az EU CCA táblát: elsődleges alapvető tőkeinstrumentumok, kiegészítő alapvető tőkeinstrumentu</w:t>
      </w:r>
      <w:r w:rsidRPr="008853AD">
        <w:rPr>
          <w:rFonts w:ascii="Times New Roman" w:hAnsi="Times New Roman"/>
          <w:bCs/>
          <w:sz w:val="24"/>
        </w:rPr>
        <w:t>mok és járulékos tőkeinstrumentumok.</w:t>
      </w:r>
    </w:p>
    <w:p w14:paraId="5DBC80F4" w14:textId="77777777" w:rsidR="00356888" w:rsidRPr="008853AD" w:rsidRDefault="008853AD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853AD">
        <w:rPr>
          <w:rFonts w:ascii="Times New Roman" w:hAnsi="Times New Roman" w:cs="Times New Roman"/>
          <w:bCs/>
          <w:sz w:val="24"/>
        </w:rPr>
        <w:t>14.</w:t>
      </w:r>
      <w:r w:rsidRPr="008853AD">
        <w:rPr>
          <w:rFonts w:ascii="Times New Roman" w:hAnsi="Times New Roman" w:cs="Times New Roman"/>
          <w:bCs/>
          <w:sz w:val="24"/>
        </w:rPr>
        <w:tab/>
      </w:r>
      <w:r w:rsidRPr="008853AD">
        <w:rPr>
          <w:rFonts w:ascii="Times New Roman" w:hAnsi="Times New Roman"/>
          <w:bCs/>
          <w:sz w:val="24"/>
        </w:rPr>
        <w:t>A táblák külön oszlopokban tartalmazzák az egyes szabályozói szavatolótőke-instrumentumok jellemzőit. Azokban az esetekben, amikor azonos kategóriájú, eltérő tőkeinstrumentumok azonos jellemzőkkel rendelkeznek, a be</w:t>
      </w:r>
      <w:r w:rsidRPr="008853AD">
        <w:rPr>
          <w:rFonts w:ascii="Times New Roman" w:hAnsi="Times New Roman"/>
          <w:bCs/>
          <w:sz w:val="24"/>
        </w:rPr>
        <w:t>fektetési vállalkozások kitölthetnek egyetlen oszlopot, megjelölve ezeket az azonos jellemzőket és feltüntetve azokat a kibocsátásokat, amelyekre az azonos jellemzők vonatkoznak.</w:t>
      </w: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661"/>
      </w:tblGrid>
      <w:tr w:rsidR="00356888" w:rsidRPr="008853AD" w14:paraId="168B7422" w14:textId="77777777">
        <w:trPr>
          <w:trHeight w:val="259"/>
        </w:trPr>
        <w:tc>
          <w:tcPr>
            <w:tcW w:w="8691" w:type="dxa"/>
            <w:gridSpan w:val="2"/>
            <w:shd w:val="clear" w:color="auto" w:fill="D9D9D9" w:themeFill="background1" w:themeFillShade="D9"/>
          </w:tcPr>
          <w:p w14:paraId="23ABF2B9" w14:textId="77777777" w:rsidR="00356888" w:rsidRPr="008853AD" w:rsidRDefault="008853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853AD">
              <w:rPr>
                <w:rFonts w:ascii="Times New Roman" w:hAnsi="Times New Roman"/>
                <w:b/>
                <w:bCs/>
                <w:color w:val="000000"/>
                <w:sz w:val="24"/>
              </w:rPr>
              <w:t>A vállalkozás által kibocsátott saját eszközök főbb jellemzőit bemutató tábla</w:t>
            </w:r>
            <w:r w:rsidRPr="008853A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kitöltésére vonatkozó utasítások</w:t>
            </w:r>
          </w:p>
        </w:tc>
      </w:tr>
      <w:tr w:rsidR="00356888" w:rsidRPr="008853AD" w14:paraId="5902C4DB" w14:textId="77777777">
        <w:trPr>
          <w:trHeight w:val="259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7EF2F66B" w14:textId="77777777" w:rsidR="00356888" w:rsidRPr="008853AD" w:rsidRDefault="008853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853AD">
              <w:rPr>
                <w:rFonts w:ascii="Times New Roman" w:hAnsi="Times New Roman"/>
                <w:b/>
                <w:bCs/>
                <w:color w:val="000000"/>
                <w:sz w:val="24"/>
              </w:rPr>
              <w:t>Sor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49E45E4E" w14:textId="77777777" w:rsidR="00356888" w:rsidRPr="008853AD" w:rsidRDefault="008853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853AD">
              <w:rPr>
                <w:rFonts w:ascii="Times New Roman" w:hAnsi="Times New Roman"/>
                <w:b/>
                <w:bCs/>
                <w:color w:val="000000"/>
                <w:sz w:val="24"/>
              </w:rPr>
              <w:t>Magyarázat</w:t>
            </w:r>
          </w:p>
        </w:tc>
      </w:tr>
      <w:tr w:rsidR="00356888" w:rsidRPr="008853AD" w14:paraId="78103CD7" w14:textId="77777777">
        <w:trPr>
          <w:trHeight w:val="259"/>
        </w:trPr>
        <w:tc>
          <w:tcPr>
            <w:tcW w:w="1030" w:type="dxa"/>
            <w:vAlign w:val="center"/>
          </w:tcPr>
          <w:p w14:paraId="5A46DC53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B7F430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Kibocsátó</w:t>
            </w:r>
          </w:p>
          <w:p w14:paraId="0C3B4C72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Azonosítani kell a kibocsátó jogi személyt.</w:t>
            </w:r>
          </w:p>
          <w:p w14:paraId="59F0704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78588A30" w14:textId="77777777">
        <w:trPr>
          <w:trHeight w:val="259"/>
        </w:trPr>
        <w:tc>
          <w:tcPr>
            <w:tcW w:w="1030" w:type="dxa"/>
            <w:vAlign w:val="center"/>
          </w:tcPr>
          <w:p w14:paraId="21FAF746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3ECF2F3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Egyedi azonosító (pl. CUSIP, ISIN vagy zártkörű kibocsátás Bloomberg-azonosítója)</w:t>
            </w:r>
          </w:p>
          <w:p w14:paraId="243128C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Egyedi azonosító (pl. CUSIP, ISIN </w:t>
            </w:r>
            <w:r w:rsidRPr="008853AD">
              <w:rPr>
                <w:rFonts w:ascii="Times New Roman" w:hAnsi="Times New Roman"/>
                <w:sz w:val="24"/>
              </w:rPr>
              <w:t>vagy zártkörű kibocsátás Bloomberg-azonosítója).</w:t>
            </w:r>
          </w:p>
          <w:p w14:paraId="0CF6EFC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7C6DFC6B" w14:textId="77777777">
        <w:trPr>
          <w:trHeight w:val="259"/>
        </w:trPr>
        <w:tc>
          <w:tcPr>
            <w:tcW w:w="1030" w:type="dxa"/>
            <w:vAlign w:val="center"/>
          </w:tcPr>
          <w:p w14:paraId="77BA53C9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22D4C11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Nyílt kibocsátás vagy zártkörű kibocsátás</w:t>
            </w:r>
          </w:p>
          <w:p w14:paraId="5ECC005D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az instrumentum kibocsátása nyílt vagy zártkörű.</w:t>
            </w:r>
          </w:p>
          <w:p w14:paraId="5336E7F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[Nyílt] [Zárt körű]</w:t>
            </w:r>
          </w:p>
        </w:tc>
      </w:tr>
      <w:tr w:rsidR="00356888" w:rsidRPr="008853AD" w14:paraId="4E8B57D5" w14:textId="77777777">
        <w:trPr>
          <w:trHeight w:val="259"/>
        </w:trPr>
        <w:tc>
          <w:tcPr>
            <w:tcW w:w="1030" w:type="dxa"/>
            <w:vAlign w:val="center"/>
          </w:tcPr>
          <w:p w14:paraId="22798138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A5F0DFF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Az </w:t>
            </w:r>
            <w:r w:rsidRPr="008853AD">
              <w:rPr>
                <w:rFonts w:ascii="Times New Roman" w:hAnsi="Times New Roman"/>
                <w:sz w:val="24"/>
              </w:rPr>
              <w:t>instrumentumra irányadó jog(ok)</w:t>
            </w:r>
          </w:p>
          <w:p w14:paraId="1BA8C283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 az instrumentumra irányadó jogot/jogokat.</w:t>
            </w:r>
          </w:p>
          <w:p w14:paraId="343ACB0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 xml:space="preserve">Szabad formátumú szöveg </w:t>
            </w:r>
          </w:p>
        </w:tc>
      </w:tr>
      <w:tr w:rsidR="00356888" w:rsidRPr="008853AD" w14:paraId="34DAEEF4" w14:textId="77777777">
        <w:trPr>
          <w:trHeight w:val="259"/>
        </w:trPr>
        <w:tc>
          <w:tcPr>
            <w:tcW w:w="1030" w:type="dxa"/>
            <w:vAlign w:val="center"/>
          </w:tcPr>
          <w:p w14:paraId="52B55820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202A3F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 instrumentum típusa (az egyes joghatóságok szerint meghatározandó típusok)</w:t>
            </w:r>
          </w:p>
          <w:p w14:paraId="0A59C4A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 az instrumentum típusát, amely joghatóságonként</w:t>
            </w:r>
            <w:r w:rsidRPr="008853AD">
              <w:rPr>
                <w:rFonts w:ascii="Times New Roman" w:hAnsi="Times New Roman"/>
                <w:sz w:val="24"/>
              </w:rPr>
              <w:t xml:space="preserve"> változó.</w:t>
            </w:r>
          </w:p>
          <w:p w14:paraId="30DA06C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A CET1 tőkeinstrumentumok esetében az instrumentum nevét a CET1 tőkeinstrumentumok EBH által közzétett jegyzékéből kell kiválasztani.</w:t>
            </w:r>
          </w:p>
          <w:p w14:paraId="3743889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A többi instrumentumra vonatkozóan a következőkből kell választani: a befektetési vállalkozások számára a menüpo</w:t>
            </w:r>
            <w:r w:rsidRPr="008853AD">
              <w:rPr>
                <w:rFonts w:ascii="Times New Roman" w:hAnsi="Times New Roman"/>
                <w:i/>
                <w:sz w:val="24"/>
              </w:rPr>
              <w:t xml:space="preserve">ntok joghatóságonként kerülnek </w:t>
            </w:r>
            <w:r w:rsidRPr="008853AD">
              <w:rPr>
                <w:rFonts w:ascii="Times New Roman" w:hAnsi="Times New Roman"/>
                <w:i/>
                <w:sz w:val="24"/>
              </w:rPr>
              <w:lastRenderedPageBreak/>
              <w:t>meghatározásra – minden egyes instrumentumtípushoz be kell illeszteni az (EU) 2019/2033 rendelet cikkeire vonatkozó jogi hivatkozásokat.</w:t>
            </w:r>
          </w:p>
        </w:tc>
      </w:tr>
      <w:tr w:rsidR="00356888" w:rsidRPr="008853AD" w14:paraId="12F35D4B" w14:textId="77777777">
        <w:trPr>
          <w:trHeight w:val="259"/>
        </w:trPr>
        <w:tc>
          <w:tcPr>
            <w:tcW w:w="1030" w:type="dxa"/>
            <w:vAlign w:val="center"/>
          </w:tcPr>
          <w:p w14:paraId="4E0DDD08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4E5664F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 szabályozói tőkében megjelenített összeg (pénznem millióban, a legutóbbi adatszolg</w:t>
            </w:r>
            <w:r w:rsidRPr="008853AD">
              <w:rPr>
                <w:rFonts w:ascii="Times New Roman" w:hAnsi="Times New Roman"/>
                <w:sz w:val="24"/>
              </w:rPr>
              <w:t>áltatás időpontjában)</w:t>
            </w:r>
          </w:p>
          <w:p w14:paraId="6F92957A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 az előírt szavatoló tőkében megjelenített összeget (az instrumentum teljes összege, a nyilvánosságra hozatal megfelelő szintjére vonatkozó átmeneti rendelkezések előtt – az adatszolgáltatási </w:t>
            </w:r>
            <w:r w:rsidRPr="008853AD">
              <w:rPr>
                <w:rFonts w:ascii="Times New Roman" w:hAnsi="Times New Roman"/>
                <w:sz w:val="24"/>
              </w:rPr>
              <w:t>kötelezettségekhez használt pénznemben).</w:t>
            </w:r>
          </w:p>
          <w:p w14:paraId="657D4CA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 – jelezni kell mindenekelőtt azt, ha az instrumentumok egyes részei az előírt szavatolótőke eltérő szintjein találhatók, és ha az előírt szavatolótőkében megjelenített összeg eltér a kibocsát</w:t>
            </w:r>
            <w:r w:rsidRPr="008853AD">
              <w:rPr>
                <w:rFonts w:ascii="Times New Roman" w:hAnsi="Times New Roman"/>
                <w:i/>
                <w:sz w:val="24"/>
              </w:rPr>
              <w:t>ott összegtől.</w:t>
            </w:r>
          </w:p>
        </w:tc>
      </w:tr>
      <w:tr w:rsidR="00356888" w:rsidRPr="008853AD" w14:paraId="0C04C0AF" w14:textId="77777777">
        <w:trPr>
          <w:trHeight w:val="259"/>
        </w:trPr>
        <w:tc>
          <w:tcPr>
            <w:tcW w:w="1030" w:type="dxa"/>
            <w:vAlign w:val="center"/>
          </w:tcPr>
          <w:p w14:paraId="1D4ED4EC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44B30E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 instrumentum névleges összege</w:t>
            </w:r>
          </w:p>
          <w:p w14:paraId="03A11A7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 instrumentum névleges összege (a kibocsátási pénznemben és az adatszolgáltatási kötelezettségekhez használt pénznemben).</w:t>
            </w:r>
          </w:p>
          <w:p w14:paraId="56801DD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0B35AC88" w14:textId="77777777">
        <w:trPr>
          <w:trHeight w:val="259"/>
        </w:trPr>
        <w:tc>
          <w:tcPr>
            <w:tcW w:w="1030" w:type="dxa"/>
            <w:vAlign w:val="center"/>
          </w:tcPr>
          <w:p w14:paraId="2D60A050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EF2F36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Kibocsátási ár</w:t>
            </w:r>
          </w:p>
          <w:p w14:paraId="796FB3AA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Az instrumentum </w:t>
            </w:r>
            <w:r w:rsidRPr="008853AD">
              <w:rPr>
                <w:rFonts w:ascii="Times New Roman" w:hAnsi="Times New Roman"/>
                <w:sz w:val="24"/>
              </w:rPr>
              <w:t>kibocsátási ára.</w:t>
            </w:r>
          </w:p>
          <w:p w14:paraId="4D4C827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4EE6C644" w14:textId="77777777">
        <w:trPr>
          <w:trHeight w:val="259"/>
        </w:trPr>
        <w:tc>
          <w:tcPr>
            <w:tcW w:w="1030" w:type="dxa"/>
            <w:vAlign w:val="center"/>
          </w:tcPr>
          <w:p w14:paraId="252891B5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06A9E5A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Visszaváltási ár</w:t>
            </w:r>
          </w:p>
          <w:p w14:paraId="3549B51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 instrumentum visszaváltási ára.</w:t>
            </w:r>
          </w:p>
          <w:p w14:paraId="67B6123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289B0C42" w14:textId="77777777">
        <w:trPr>
          <w:trHeight w:val="259"/>
        </w:trPr>
        <w:tc>
          <w:tcPr>
            <w:tcW w:w="1030" w:type="dxa"/>
            <w:vAlign w:val="center"/>
          </w:tcPr>
          <w:p w14:paraId="0650EE35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9CF1003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Számviteli besorolás</w:t>
            </w:r>
          </w:p>
          <w:p w14:paraId="47A63C19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 számviteli besorolás meghatározása.</w:t>
            </w:r>
          </w:p>
          <w:p w14:paraId="4F5C725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 xml:space="preserve">Menüből választandó: [Saját tőke] [Kötelezettség – amortizált </w:t>
            </w:r>
            <w:r w:rsidRPr="008853AD">
              <w:rPr>
                <w:rFonts w:ascii="Times New Roman" w:hAnsi="Times New Roman"/>
                <w:i/>
                <w:sz w:val="24"/>
              </w:rPr>
              <w:t>bekerülési érték] [Kötelezettség – valós érték opció] [Konszolidált leányvállalatban fennálló nem ellenőrző részesedés]</w:t>
            </w:r>
          </w:p>
        </w:tc>
      </w:tr>
      <w:tr w:rsidR="00356888" w:rsidRPr="008853AD" w14:paraId="0BF6FF05" w14:textId="77777777">
        <w:trPr>
          <w:trHeight w:val="259"/>
        </w:trPr>
        <w:tc>
          <w:tcPr>
            <w:tcW w:w="1030" w:type="dxa"/>
            <w:vAlign w:val="center"/>
          </w:tcPr>
          <w:p w14:paraId="5F321099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EB3A882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 kibocsátás eredeti időpontja</w:t>
            </w:r>
          </w:p>
          <w:p w14:paraId="6D543E6B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 kibocsátás időpontjának meghatározása.</w:t>
            </w:r>
          </w:p>
          <w:p w14:paraId="53EB7BB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7874CBF8" w14:textId="77777777">
        <w:trPr>
          <w:trHeight w:val="259"/>
        </w:trPr>
        <w:tc>
          <w:tcPr>
            <w:tcW w:w="1030" w:type="dxa"/>
            <w:vAlign w:val="center"/>
          </w:tcPr>
          <w:p w14:paraId="1DA211E0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D94748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Lejárat nélküli vagy lejáratra</w:t>
            </w:r>
            <w:r w:rsidRPr="008853AD">
              <w:rPr>
                <w:rFonts w:ascii="Times New Roman" w:hAnsi="Times New Roman"/>
                <w:sz w:val="24"/>
              </w:rPr>
              <w:t xml:space="preserve"> szóló</w:t>
            </w:r>
          </w:p>
          <w:p w14:paraId="7348053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az instrumentum lejáratra szóló vagy lejárat nélküli.</w:t>
            </w:r>
          </w:p>
          <w:p w14:paraId="2CFCC74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[Lejárat nélküli] [Lejáratra szóló]</w:t>
            </w:r>
          </w:p>
        </w:tc>
      </w:tr>
      <w:tr w:rsidR="00356888" w:rsidRPr="008853AD" w14:paraId="457902DE" w14:textId="77777777">
        <w:trPr>
          <w:trHeight w:val="259"/>
        </w:trPr>
        <w:tc>
          <w:tcPr>
            <w:tcW w:w="1030" w:type="dxa"/>
            <w:vAlign w:val="center"/>
          </w:tcPr>
          <w:p w14:paraId="33C1F49C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2D1E6E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Eredeti lejárati idő</w:t>
            </w:r>
          </w:p>
          <w:p w14:paraId="39940AC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Lejáratra szóló instrumentum esetében meg kell adni az eredeti lejárati időt (nap, </w:t>
            </w:r>
            <w:r w:rsidRPr="008853AD">
              <w:rPr>
                <w:rFonts w:ascii="Times New Roman" w:hAnsi="Times New Roman"/>
                <w:sz w:val="24"/>
              </w:rPr>
              <w:t>hónap és év). Lejárat nélküli instrumentum esetében a megjelölés: „nincs lejárati idő”.</w:t>
            </w:r>
          </w:p>
          <w:p w14:paraId="7F6E4C7B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58F5C62B" w14:textId="77777777">
        <w:trPr>
          <w:trHeight w:val="259"/>
        </w:trPr>
        <w:tc>
          <w:tcPr>
            <w:tcW w:w="1030" w:type="dxa"/>
            <w:vAlign w:val="center"/>
          </w:tcPr>
          <w:p w14:paraId="4E6FE5F9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5D66DC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 kibocsátó vételi (call) opciója előzetes felügyeleti jóváhagyáshoz kötött</w:t>
            </w:r>
          </w:p>
          <w:p w14:paraId="7E3F4456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van-e kibocsátónak vételi (call) opciója (b</w:t>
            </w:r>
            <w:r w:rsidRPr="008853AD">
              <w:rPr>
                <w:rFonts w:ascii="Times New Roman" w:hAnsi="Times New Roman"/>
                <w:sz w:val="24"/>
              </w:rPr>
              <w:t>ármely típusú vételi opció).</w:t>
            </w:r>
          </w:p>
          <w:p w14:paraId="5C2D828A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[Igen] [Nem]</w:t>
            </w:r>
          </w:p>
        </w:tc>
      </w:tr>
      <w:tr w:rsidR="00356888" w:rsidRPr="008853AD" w14:paraId="19F0074A" w14:textId="77777777">
        <w:trPr>
          <w:trHeight w:val="259"/>
        </w:trPr>
        <w:tc>
          <w:tcPr>
            <w:tcW w:w="1030" w:type="dxa"/>
            <w:vAlign w:val="center"/>
          </w:tcPr>
          <w:p w14:paraId="67C037E2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42CD84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Opcionális vételi időpont, függő vételi időpontok és visszaváltási összeg</w:t>
            </w:r>
          </w:p>
          <w:p w14:paraId="577118D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Kibocsátói vételi opcióval rendelkező instrumentum esetében meg kell adni a vétel első időpontját, ha az </w:t>
            </w:r>
            <w:r w:rsidRPr="008853AD">
              <w:rPr>
                <w:rFonts w:ascii="Times New Roman" w:hAnsi="Times New Roman"/>
                <w:sz w:val="24"/>
              </w:rPr>
              <w:t>instrumentum meghatározott időpontra (nap, hónap, év) vonatkozó vételi opcióval rendelkezik, ezen kívül meg kell adni, hogy az instrumentum rendelkezik-e adózási és/vagy szabályozói eseményre vonatkozó vételi opcióval. Meg kell adni a visszaváltási árat is</w:t>
            </w:r>
            <w:r w:rsidRPr="008853AD">
              <w:rPr>
                <w:rFonts w:ascii="Times New Roman" w:hAnsi="Times New Roman"/>
                <w:sz w:val="24"/>
              </w:rPr>
              <w:t>. Ez segíti a tartósság értékelését.</w:t>
            </w:r>
          </w:p>
          <w:p w14:paraId="28D1F6A6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5EA2AD4F" w14:textId="77777777">
        <w:trPr>
          <w:trHeight w:val="259"/>
        </w:trPr>
        <w:tc>
          <w:tcPr>
            <w:tcW w:w="1030" w:type="dxa"/>
            <w:vAlign w:val="center"/>
          </w:tcPr>
          <w:p w14:paraId="28545237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5E2C186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Adott esetben további vételi időpontok</w:t>
            </w:r>
          </w:p>
          <w:p w14:paraId="27271EB4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Adott esetben meg kell adni további vételi időpontok fennállását és gyakoriságát. Ez segíti a tartósság értékelését.</w:t>
            </w:r>
          </w:p>
          <w:p w14:paraId="22D19DE2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3BDF16A2" w14:textId="77777777">
        <w:trPr>
          <w:trHeight w:val="259"/>
        </w:trPr>
        <w:tc>
          <w:tcPr>
            <w:tcW w:w="1030" w:type="dxa"/>
            <w:vAlign w:val="center"/>
          </w:tcPr>
          <w:p w14:paraId="21DF911C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8CE97BF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Rögzített vagy változó összegű osztalék/kamatszelvény</w:t>
            </w:r>
          </w:p>
          <w:p w14:paraId="48A0332F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a kamatszelvény/osztalék: rögzített vagy változó az instrumentum élettartama alatt, illetve jelenleg rögzített, de a jövőben változó kamatozásúvá alakul, vagy jelenleg változó kamato</w:t>
            </w:r>
            <w:r w:rsidRPr="008853AD">
              <w:rPr>
                <w:rFonts w:ascii="Times New Roman" w:hAnsi="Times New Roman"/>
                <w:sz w:val="24"/>
              </w:rPr>
              <w:t>zású, de a jövőben rögzített kamatozásúvá alakul.</w:t>
            </w:r>
          </w:p>
          <w:p w14:paraId="44D85FC6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lastRenderedPageBreak/>
              <w:t xml:space="preserve">Menüből választandó: [Rögzített] [Változó] [Rögzítettből változó] [Változóból rögzített] </w:t>
            </w:r>
          </w:p>
        </w:tc>
      </w:tr>
      <w:tr w:rsidR="00356888" w:rsidRPr="008853AD" w14:paraId="3EA0ECDB" w14:textId="77777777">
        <w:trPr>
          <w:trHeight w:val="259"/>
        </w:trPr>
        <w:tc>
          <w:tcPr>
            <w:tcW w:w="1030" w:type="dxa"/>
            <w:vAlign w:val="center"/>
          </w:tcPr>
          <w:p w14:paraId="7874074F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lastRenderedPageBreak/>
              <w:t>18.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6496653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Kamatszelvényráta és bármely kapcsolódó index</w:t>
            </w:r>
          </w:p>
          <w:p w14:paraId="18E7451D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 az instrumentum kamatfizetési időpontját és </w:t>
            </w:r>
            <w:r w:rsidRPr="008853AD">
              <w:rPr>
                <w:rFonts w:ascii="Times New Roman" w:hAnsi="Times New Roman"/>
                <w:sz w:val="24"/>
              </w:rPr>
              <w:t>bármely olyan kapcsolódó indexet, amelyre a kamatszelvény/osztalék hivatkozik.</w:t>
            </w:r>
          </w:p>
          <w:p w14:paraId="7B531D8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 xml:space="preserve">Szabad formátumú szöveg </w:t>
            </w:r>
          </w:p>
        </w:tc>
      </w:tr>
      <w:tr w:rsidR="00356888" w:rsidRPr="008853AD" w14:paraId="194465FE" w14:textId="77777777">
        <w:trPr>
          <w:trHeight w:val="2983"/>
        </w:trPr>
        <w:tc>
          <w:tcPr>
            <w:tcW w:w="1030" w:type="dxa"/>
            <w:vAlign w:val="center"/>
          </w:tcPr>
          <w:p w14:paraId="3EAB708A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0935F3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Osztalékfizetést felfüggesztő rendelkezés (dividend stopper) fennállása</w:t>
            </w:r>
          </w:p>
          <w:p w14:paraId="4667809F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adni, hogy az instrumentum kamatszelvényének vagy az osztalékának </w:t>
            </w:r>
            <w:r w:rsidRPr="008853AD">
              <w:rPr>
                <w:rFonts w:ascii="Times New Roman" w:hAnsi="Times New Roman"/>
                <w:sz w:val="24"/>
              </w:rPr>
              <w:t>ki nem fizetése megtiltja-e osztalék kifizetését a törzsrészvények után (azaz van-e „dividend stopper”).</w:t>
            </w:r>
          </w:p>
          <w:p w14:paraId="0BBE295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 xml:space="preserve">Menüből választandó: [Igen] [Nem] </w:t>
            </w:r>
          </w:p>
        </w:tc>
      </w:tr>
      <w:tr w:rsidR="00356888" w:rsidRPr="008853AD" w14:paraId="446B40A0" w14:textId="77777777">
        <w:trPr>
          <w:trHeight w:val="259"/>
        </w:trPr>
        <w:tc>
          <w:tcPr>
            <w:tcW w:w="1030" w:type="dxa"/>
            <w:vAlign w:val="center"/>
          </w:tcPr>
          <w:p w14:paraId="70097904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674940D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Teljes mértékben diszkrecionális, részben diszkrecionális vagy kötelező (az időzítés tekintetében)</w:t>
            </w:r>
          </w:p>
          <w:p w14:paraId="31608B7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</w:t>
            </w:r>
            <w:r w:rsidRPr="008853AD">
              <w:rPr>
                <w:rFonts w:ascii="Times New Roman" w:hAnsi="Times New Roman"/>
                <w:sz w:val="24"/>
              </w:rPr>
              <w:t>adni, hogy a kibocsátónak teljes mérlegelési jogköre, részleges mérlegelési jogköre van-e, vagy nincs mérlegelési jogköre a kamatszelvény/osztalék kifizetésével kapcsolatban. Ha az intézmény minden körülmények között teljes hatáskörrel rendelkezik a kamats</w:t>
            </w:r>
            <w:r w:rsidRPr="008853AD">
              <w:rPr>
                <w:rFonts w:ascii="Times New Roman" w:hAnsi="Times New Roman"/>
                <w:sz w:val="24"/>
              </w:rPr>
              <w:t>zelvény/osztalék kifizetésének felfüggesztésére, akkor a „teljes mértékben diszkrecionális” megjelölést kell választania (beleértve azt az esetet is, ha olyan „dividend stopper” áll fenn, amely nem jár azzal a hatással, hogy megakadályozza azt, hogy az int</w:t>
            </w:r>
            <w:r w:rsidRPr="008853AD">
              <w:rPr>
                <w:rFonts w:ascii="Times New Roman" w:hAnsi="Times New Roman"/>
                <w:sz w:val="24"/>
              </w:rPr>
              <w:t>ézmény felfüggessze az instrumentumra vonatkozó kifizetéseket). Ha vannak olyan feltételek, amelyeknek az intézménynek meg kell felelnie a kifizetés felfüggesztése előtt (pl. a szavatolótőke egy bizonyos küszöbérték alá csökken), akkor az intézménynek a „r</w:t>
            </w:r>
            <w:r w:rsidRPr="008853AD">
              <w:rPr>
                <w:rFonts w:ascii="Times New Roman" w:hAnsi="Times New Roman"/>
                <w:sz w:val="24"/>
              </w:rPr>
              <w:t>észben diszkrecionális” megjelölést kell választania. Ha az intézmény a fizetésképtelenség esetét kivéve nem képes a kifizetés felfüggesztésére, akkor a a „kötelező” megjelölést kell választani.</w:t>
            </w:r>
          </w:p>
          <w:p w14:paraId="5FD33EC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[Teljes mértékben diszkrecionális] [Rész</w:t>
            </w:r>
            <w:r w:rsidRPr="008853AD">
              <w:rPr>
                <w:rFonts w:ascii="Times New Roman" w:hAnsi="Times New Roman"/>
                <w:i/>
                <w:sz w:val="24"/>
              </w:rPr>
              <w:t>ben diszkrecionális] [Kötelező]</w:t>
            </w:r>
          </w:p>
          <w:p w14:paraId="461C3D5F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 (határozza meg a diszkrecionális hatáskör okait, „dividend pusher”-ek, „dividend stopper”-ek, alternatív kuponfizetési mechanizmus (ACSM))</w:t>
            </w:r>
          </w:p>
        </w:tc>
      </w:tr>
      <w:tr w:rsidR="00356888" w:rsidRPr="008853AD" w14:paraId="2F2224BC" w14:textId="77777777">
        <w:trPr>
          <w:trHeight w:val="259"/>
        </w:trPr>
        <w:tc>
          <w:tcPr>
            <w:tcW w:w="1030" w:type="dxa"/>
            <w:vAlign w:val="center"/>
          </w:tcPr>
          <w:p w14:paraId="619B0F2B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lastRenderedPageBreak/>
              <w:t>21.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4A1C4AF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Teljes mértékben diszkrecionális, részben </w:t>
            </w:r>
            <w:r w:rsidRPr="008853AD">
              <w:rPr>
                <w:rFonts w:ascii="Times New Roman" w:hAnsi="Times New Roman"/>
                <w:sz w:val="24"/>
              </w:rPr>
              <w:t>diszkrecionális vagy kötelező (az összeg tekintetében)</w:t>
            </w:r>
          </w:p>
          <w:p w14:paraId="1D031BCF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a kibocsátónak teljes mérlegelési jogköre, részleges mérlegelési jogköre van-e, vagy nincs mérlegelési jogköre a kamatszelvény/osztalék összegével kapcsolatban.</w:t>
            </w:r>
          </w:p>
          <w:p w14:paraId="1B4E8A73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</w:t>
            </w:r>
            <w:r w:rsidRPr="008853AD">
              <w:rPr>
                <w:rFonts w:ascii="Times New Roman" w:hAnsi="Times New Roman"/>
                <w:i/>
                <w:sz w:val="24"/>
              </w:rPr>
              <w:t xml:space="preserve"> [Teljes mértékben diszkrecionális] [Részben diszkrecionális] [Kötelező]</w:t>
            </w:r>
          </w:p>
        </w:tc>
      </w:tr>
      <w:tr w:rsidR="00356888" w:rsidRPr="008853AD" w14:paraId="479B9DEE" w14:textId="77777777">
        <w:trPr>
          <w:trHeight w:val="259"/>
        </w:trPr>
        <w:tc>
          <w:tcPr>
            <w:tcW w:w="1030" w:type="dxa"/>
            <w:vAlign w:val="center"/>
          </w:tcPr>
          <w:p w14:paraId="4BE81AA9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253A17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Feljebblépési vagy egyéb visszaváltási ösztönző</w:t>
            </w:r>
          </w:p>
          <w:p w14:paraId="7D66CE96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van-e feljebblépési vagy egyéb ösztönző a visszaváltásra.</w:t>
            </w:r>
          </w:p>
          <w:p w14:paraId="6C1047B3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[Igen] [Nem]</w:t>
            </w:r>
          </w:p>
        </w:tc>
      </w:tr>
      <w:tr w:rsidR="00356888" w:rsidRPr="008853AD" w14:paraId="5CC5713D" w14:textId="77777777">
        <w:trPr>
          <w:trHeight w:val="259"/>
        </w:trPr>
        <w:tc>
          <w:tcPr>
            <w:tcW w:w="1030" w:type="dxa"/>
            <w:vAlign w:val="center"/>
          </w:tcPr>
          <w:p w14:paraId="38068FB3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EC3908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Nem halmozódó</w:t>
            </w:r>
            <w:r w:rsidRPr="008853AD">
              <w:rPr>
                <w:rFonts w:ascii="Times New Roman" w:hAnsi="Times New Roman"/>
                <w:sz w:val="24"/>
              </w:rPr>
              <w:t xml:space="preserve"> vagy halmozódó</w:t>
            </w:r>
          </w:p>
          <w:p w14:paraId="5F8B93D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az osztalékok/kamatszelvények összege halmozódó vagy nem halmozódó.</w:t>
            </w:r>
          </w:p>
          <w:p w14:paraId="08B32CA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[Nem halmozódó] [Halmozódó] [ACSM]</w:t>
            </w:r>
          </w:p>
        </w:tc>
      </w:tr>
      <w:tr w:rsidR="00356888" w:rsidRPr="008853AD" w14:paraId="14D45AA5" w14:textId="77777777">
        <w:trPr>
          <w:trHeight w:val="259"/>
        </w:trPr>
        <w:tc>
          <w:tcPr>
            <w:tcW w:w="1030" w:type="dxa"/>
            <w:vAlign w:val="center"/>
          </w:tcPr>
          <w:p w14:paraId="1D961830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22AB9EA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Átalakítható vagy nem átalakítható</w:t>
            </w:r>
          </w:p>
          <w:p w14:paraId="5C2AFCA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adni, hogy az instrumentum </w:t>
            </w:r>
            <w:r w:rsidRPr="008853AD">
              <w:rPr>
                <w:rFonts w:ascii="Times New Roman" w:hAnsi="Times New Roman"/>
                <w:sz w:val="24"/>
              </w:rPr>
              <w:t>átalakítható-e vagy sem.</w:t>
            </w:r>
          </w:p>
          <w:p w14:paraId="782A9649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[Átalakítható] [Nem átalakítható]</w:t>
            </w:r>
          </w:p>
        </w:tc>
      </w:tr>
      <w:tr w:rsidR="00356888" w:rsidRPr="008853AD" w14:paraId="1DA71EB8" w14:textId="77777777">
        <w:trPr>
          <w:trHeight w:val="259"/>
        </w:trPr>
        <w:tc>
          <w:tcPr>
            <w:tcW w:w="1030" w:type="dxa"/>
            <w:vAlign w:val="center"/>
          </w:tcPr>
          <w:p w14:paraId="31A6239D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DB1164D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az átváltási küszöb(ök)</w:t>
            </w:r>
          </w:p>
          <w:p w14:paraId="1DB160C4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 azokat a feltételeket, amelyek mellett az instrumentumot átalakítják, ideértve azt is, hogy mely ponton válik az ins</w:t>
            </w:r>
            <w:r w:rsidRPr="008853AD">
              <w:rPr>
                <w:rFonts w:ascii="Times New Roman" w:hAnsi="Times New Roman"/>
                <w:sz w:val="24"/>
              </w:rPr>
              <w:t>trumentum életképtelenné. Amennyiben egy vagy több hatóság képes az átalakítás kiváltására, a hatóságokat fel kell sorolni. Minden egyes hatóság esetén meg kell jelölni, hogy az instrumentum szerződéses feltételei nyújtanak-e jogalapot a hatóság számára az</w:t>
            </w:r>
            <w:r w:rsidRPr="008853AD">
              <w:rPr>
                <w:rFonts w:ascii="Times New Roman" w:hAnsi="Times New Roman"/>
                <w:sz w:val="24"/>
              </w:rPr>
              <w:t xml:space="preserve"> átalakítás kiváltására (szerződéses megközelítés), vagy a jogalapot jogszabályi eszközök biztosítják (jogszabályi megközelítés).</w:t>
            </w:r>
          </w:p>
          <w:p w14:paraId="38D9FC0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23D1058D" w14:textId="77777777">
        <w:trPr>
          <w:trHeight w:val="259"/>
        </w:trPr>
        <w:tc>
          <w:tcPr>
            <w:tcW w:w="1030" w:type="dxa"/>
            <w:vAlign w:val="center"/>
          </w:tcPr>
          <w:p w14:paraId="2F5241D3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1B41259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teljesen vagy részben</w:t>
            </w:r>
          </w:p>
          <w:p w14:paraId="743099E0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az instrumentum minden esetben teljese</w:t>
            </w:r>
            <w:r w:rsidRPr="008853AD">
              <w:rPr>
                <w:rFonts w:ascii="Times New Roman" w:hAnsi="Times New Roman"/>
                <w:sz w:val="24"/>
              </w:rPr>
              <w:t>n átalakításra kerül, teljesen vagy részben átalakítható, vagy mindig részben kerül átalakításra.</w:t>
            </w:r>
          </w:p>
          <w:p w14:paraId="078C136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lastRenderedPageBreak/>
              <w:t>Menüből választandó: [Mindig teljesen] [Teljesen vagy részben] [Mindig részben]</w:t>
            </w:r>
          </w:p>
        </w:tc>
      </w:tr>
      <w:tr w:rsidR="00356888" w:rsidRPr="008853AD" w14:paraId="00A12184" w14:textId="77777777">
        <w:trPr>
          <w:trHeight w:val="259"/>
        </w:trPr>
        <w:tc>
          <w:tcPr>
            <w:tcW w:w="1030" w:type="dxa"/>
            <w:vAlign w:val="center"/>
          </w:tcPr>
          <w:p w14:paraId="24CEAF5E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82A650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az átalakítási arányszám</w:t>
            </w:r>
          </w:p>
          <w:p w14:paraId="7D72294F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 az olyan </w:t>
            </w:r>
            <w:r w:rsidRPr="008853AD">
              <w:rPr>
                <w:rFonts w:ascii="Times New Roman" w:hAnsi="Times New Roman"/>
                <w:sz w:val="24"/>
              </w:rPr>
              <w:t>instrumentummá való átalakítás mértékét, amelynek nagyobb a veszteségelnyelő képessége.</w:t>
            </w:r>
          </w:p>
          <w:p w14:paraId="1FA7BA4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5B961ABC" w14:textId="77777777">
        <w:trPr>
          <w:trHeight w:val="259"/>
        </w:trPr>
        <w:tc>
          <w:tcPr>
            <w:tcW w:w="1030" w:type="dxa"/>
            <w:vAlign w:val="center"/>
          </w:tcPr>
          <w:p w14:paraId="408F6685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85CE48B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kötelező vagy opcionális az átalakítás</w:t>
            </w:r>
          </w:p>
          <w:p w14:paraId="7EB880D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Az átalakítható instrumentumok esetében meg kell adni, hogy az átalakítás kötelező </w:t>
            </w:r>
            <w:r w:rsidRPr="008853AD">
              <w:rPr>
                <w:rFonts w:ascii="Times New Roman" w:hAnsi="Times New Roman"/>
                <w:sz w:val="24"/>
              </w:rPr>
              <w:t>vagy opcionális.</w:t>
            </w:r>
          </w:p>
          <w:p w14:paraId="0733718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[Kötelező] [Opcionális] [N/A] és [A birtokosok választása szerint] [A kibocsátó választása szerint] [Mind a birtokosok, mind pedig a kibocsátó választása szerint]</w:t>
            </w:r>
          </w:p>
        </w:tc>
      </w:tr>
      <w:tr w:rsidR="00356888" w:rsidRPr="008853AD" w14:paraId="53DE6BE3" w14:textId="77777777">
        <w:trPr>
          <w:trHeight w:val="259"/>
        </w:trPr>
        <w:tc>
          <w:tcPr>
            <w:tcW w:w="1030" w:type="dxa"/>
            <w:vAlign w:val="center"/>
          </w:tcPr>
          <w:p w14:paraId="288C72F8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235150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határozza meg az instrumentumtípu</w:t>
            </w:r>
            <w:r w:rsidRPr="008853AD">
              <w:rPr>
                <w:rFonts w:ascii="Times New Roman" w:hAnsi="Times New Roman"/>
                <w:sz w:val="24"/>
              </w:rPr>
              <w:t>st, amire átalakítható</w:t>
            </w:r>
          </w:p>
          <w:p w14:paraId="78F32CE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 átalakítható instrumentumok esetében meg kell adni, hogy milyen instrumentumtípusra való átalakítás lehetséges.</w:t>
            </w:r>
          </w:p>
          <w:p w14:paraId="240E4E4B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[Elsődleges alapvető tőkeinstrumentum] [Kiegészítő alapvető tőkeinstrumentum] [Járulékos tőkeinst</w:t>
            </w:r>
            <w:r w:rsidRPr="008853AD">
              <w:rPr>
                <w:rFonts w:ascii="Times New Roman" w:hAnsi="Times New Roman"/>
                <w:i/>
                <w:sz w:val="24"/>
              </w:rPr>
              <w:t>rumentum] [Egyéb]</w:t>
            </w:r>
          </w:p>
        </w:tc>
      </w:tr>
      <w:tr w:rsidR="00356888" w:rsidRPr="008853AD" w14:paraId="0EF2EBF2" w14:textId="77777777">
        <w:trPr>
          <w:trHeight w:val="259"/>
        </w:trPr>
        <w:tc>
          <w:tcPr>
            <w:tcW w:w="1030" w:type="dxa"/>
            <w:vAlign w:val="center"/>
          </w:tcPr>
          <w:p w14:paraId="16DDB8BC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304D2E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határozza meg annak az instrumentumnak a kibocsátóját, amire átalakítható</w:t>
            </w:r>
          </w:p>
          <w:p w14:paraId="7B1B89C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átalakítható, határozza meg annak az instrumentumnak a kibocsátóját, amire átalakítható.</w:t>
            </w:r>
          </w:p>
          <w:p w14:paraId="6A81C1C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38AA9DBE" w14:textId="77777777">
        <w:trPr>
          <w:trHeight w:val="259"/>
        </w:trPr>
        <w:tc>
          <w:tcPr>
            <w:tcW w:w="1030" w:type="dxa"/>
            <w:vAlign w:val="center"/>
          </w:tcPr>
          <w:p w14:paraId="18526CCC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D24855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Leírási </w:t>
            </w:r>
            <w:r w:rsidRPr="008853AD">
              <w:rPr>
                <w:rFonts w:ascii="Times New Roman" w:hAnsi="Times New Roman"/>
                <w:sz w:val="24"/>
              </w:rPr>
              <w:t>jellemzők</w:t>
            </w:r>
          </w:p>
          <w:p w14:paraId="6D1BE2B2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van-e leírási jellemző.</w:t>
            </w:r>
          </w:p>
          <w:p w14:paraId="61D4B82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[Igen] [Nem]</w:t>
            </w:r>
          </w:p>
        </w:tc>
      </w:tr>
      <w:tr w:rsidR="00356888" w:rsidRPr="008853AD" w14:paraId="6107F88E" w14:textId="77777777">
        <w:trPr>
          <w:trHeight w:val="259"/>
        </w:trPr>
        <w:tc>
          <w:tcPr>
            <w:tcW w:w="1030" w:type="dxa"/>
            <w:vAlign w:val="center"/>
          </w:tcPr>
          <w:p w14:paraId="0472647C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3859016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leírható, a leírási küszöb(ök)</w:t>
            </w:r>
          </w:p>
          <w:p w14:paraId="25F567D2" w14:textId="77777777" w:rsidR="00356888" w:rsidRPr="008853AD" w:rsidRDefault="008853A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 azokat a küszöbértékeket, amelyeken bekövetkezik a leírás, beleértve a gazdaságilag életképtelenné válás </w:t>
            </w:r>
            <w:r w:rsidRPr="008853AD">
              <w:rPr>
                <w:rFonts w:ascii="Times New Roman" w:hAnsi="Times New Roman"/>
                <w:sz w:val="24"/>
              </w:rPr>
              <w:t xml:space="preserve">esetét. Amennyiben egy vagy több hatóság képes a leírás kiváltására, a hatóságokat fel kell sorolni. Minden egyes hatóság esetében meg kell jelölni, hogy az instrumentum szerződéses feltételei nyújtanak-e jogalapot a hatóság számára a leírás kiváltására </w:t>
            </w:r>
            <w:r w:rsidRPr="008853AD">
              <w:rPr>
                <w:rFonts w:ascii="Times New Roman" w:hAnsi="Times New Roman"/>
                <w:sz w:val="24"/>
              </w:rPr>
              <w:lastRenderedPageBreak/>
              <w:t>(s</w:t>
            </w:r>
            <w:r w:rsidRPr="008853AD">
              <w:rPr>
                <w:rFonts w:ascii="Times New Roman" w:hAnsi="Times New Roman"/>
                <w:sz w:val="24"/>
              </w:rPr>
              <w:t>zerződéses megközelítés) vagy a jogalapot jogszabályi eszközök biztosítják (jogszabályi megközelítés).</w:t>
            </w:r>
          </w:p>
          <w:p w14:paraId="529CB63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697C4242" w14:textId="77777777">
        <w:trPr>
          <w:trHeight w:val="259"/>
        </w:trPr>
        <w:tc>
          <w:tcPr>
            <w:tcW w:w="1030" w:type="dxa"/>
            <w:vAlign w:val="center"/>
          </w:tcPr>
          <w:p w14:paraId="09D75AD9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lastRenderedPageBreak/>
              <w:t>33.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5C4E29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leírható, teljesen vagy részben</w:t>
            </w:r>
          </w:p>
          <w:p w14:paraId="0D3597B2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Meg kell adni, hogy az instrumentum minden esetben teljesen leírásra kerül, </w:t>
            </w:r>
            <w:r w:rsidRPr="008853AD">
              <w:rPr>
                <w:rFonts w:ascii="Times New Roman" w:hAnsi="Times New Roman"/>
                <w:sz w:val="24"/>
              </w:rPr>
              <w:t>teljesen vagy részben leírható, vagy mindig részben kerül leírásra. Ez segíti a leíráskori veszteségviselési képesség értékelését.</w:t>
            </w:r>
          </w:p>
          <w:p w14:paraId="5C093D29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 xml:space="preserve">Menüből választandó: [Mindig teljesen] [Teljesen vagy részben] [Mindig részben] </w:t>
            </w:r>
          </w:p>
        </w:tc>
      </w:tr>
      <w:tr w:rsidR="00356888" w:rsidRPr="008853AD" w14:paraId="0DAB52EF" w14:textId="77777777">
        <w:trPr>
          <w:trHeight w:val="259"/>
        </w:trPr>
        <w:tc>
          <w:tcPr>
            <w:tcW w:w="1030" w:type="dxa"/>
            <w:vAlign w:val="center"/>
          </w:tcPr>
          <w:p w14:paraId="5F06BB30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047F8C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leírható, akkor tartósan vagy ideigl</w:t>
            </w:r>
            <w:r w:rsidRPr="008853AD">
              <w:rPr>
                <w:rFonts w:ascii="Times New Roman" w:hAnsi="Times New Roman"/>
                <w:sz w:val="24"/>
              </w:rPr>
              <w:t>enesen</w:t>
            </w:r>
          </w:p>
          <w:p w14:paraId="041FCA0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 leírható instrumentumok esetében meg kell adni, hogy a leírás tartós vagy ideiglenes.</w:t>
            </w:r>
          </w:p>
          <w:p w14:paraId="529733C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Menüből választandó: [Tartós] [Ideiglenes] [N/A]</w:t>
            </w:r>
          </w:p>
        </w:tc>
      </w:tr>
      <w:tr w:rsidR="00356888" w:rsidRPr="008853AD" w14:paraId="2CA15B3C" w14:textId="77777777">
        <w:trPr>
          <w:trHeight w:val="259"/>
        </w:trPr>
        <w:tc>
          <w:tcPr>
            <w:tcW w:w="1030" w:type="dxa"/>
            <w:vAlign w:val="center"/>
          </w:tcPr>
          <w:p w14:paraId="00996049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70F929C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Ideiglenes leírás esetén a felértékelési mechanizmus ismertetése</w:t>
            </w:r>
          </w:p>
          <w:p w14:paraId="4B782617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Ismertetni kell a </w:t>
            </w:r>
            <w:r w:rsidRPr="008853AD">
              <w:rPr>
                <w:rFonts w:ascii="Times New Roman" w:hAnsi="Times New Roman"/>
                <w:sz w:val="24"/>
              </w:rPr>
              <w:t>felértékelési mechanizmust.</w:t>
            </w:r>
          </w:p>
          <w:p w14:paraId="5B5A2745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:rsidRPr="008853AD" w14:paraId="025410A2" w14:textId="77777777">
        <w:trPr>
          <w:trHeight w:val="1448"/>
        </w:trPr>
        <w:tc>
          <w:tcPr>
            <w:tcW w:w="1030" w:type="dxa"/>
            <w:vAlign w:val="center"/>
          </w:tcPr>
          <w:p w14:paraId="4535C61E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AFE4504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Nem megfelelő áttérő jellemzők</w:t>
            </w:r>
          </w:p>
          <w:p w14:paraId="47AA754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Meg kell adni, hogy vannak-e nem megfelelő jellemzők.</w:t>
            </w:r>
          </w:p>
          <w:p w14:paraId="71631CC8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Választandó: [Igen] [Nem].</w:t>
            </w:r>
          </w:p>
        </w:tc>
      </w:tr>
      <w:tr w:rsidR="00356888" w:rsidRPr="008853AD" w14:paraId="115951A2" w14:textId="77777777">
        <w:trPr>
          <w:trHeight w:val="259"/>
        </w:trPr>
        <w:tc>
          <w:tcPr>
            <w:tcW w:w="1030" w:type="dxa"/>
            <w:vAlign w:val="center"/>
          </w:tcPr>
          <w:p w14:paraId="6E0EC096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6FF1B01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Ha igen, nevezze meg a nem megfelelő jellemzőket</w:t>
            </w:r>
          </w:p>
          <w:p w14:paraId="43BBBE1E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Ha vannak nem megfelelő </w:t>
            </w:r>
            <w:r w:rsidRPr="008853AD">
              <w:rPr>
                <w:rFonts w:ascii="Times New Roman" w:hAnsi="Times New Roman"/>
                <w:sz w:val="24"/>
              </w:rPr>
              <w:t>jellemzők, meg kell adni, hogy melyek ezek.</w:t>
            </w:r>
          </w:p>
          <w:p w14:paraId="14796D0D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53AD">
              <w:rPr>
                <w:rFonts w:ascii="Times New Roman" w:hAnsi="Times New Roman"/>
                <w:i/>
                <w:sz w:val="24"/>
              </w:rPr>
              <w:t>Szabad formátumú szöveg</w:t>
            </w:r>
          </w:p>
        </w:tc>
      </w:tr>
      <w:tr w:rsidR="00356888" w14:paraId="590D6142" w14:textId="77777777">
        <w:trPr>
          <w:trHeight w:val="259"/>
        </w:trPr>
        <w:tc>
          <w:tcPr>
            <w:tcW w:w="1030" w:type="dxa"/>
            <w:vAlign w:val="center"/>
          </w:tcPr>
          <w:p w14:paraId="2A9D7963" w14:textId="77777777" w:rsidR="00356888" w:rsidRPr="008853AD" w:rsidRDefault="008853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6469404" w14:textId="77777777" w:rsidR="00356888" w:rsidRPr="008853AD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>Az eszköz teljeskörű feltételeinek elérhetősége (link)</w:t>
            </w:r>
          </w:p>
          <w:p w14:paraId="0CA9617B" w14:textId="77777777" w:rsidR="00356888" w:rsidRDefault="008853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853AD">
              <w:rPr>
                <w:rFonts w:ascii="Times New Roman" w:hAnsi="Times New Roman"/>
                <w:sz w:val="24"/>
              </w:rPr>
              <w:t xml:space="preserve">A befektetési vállalkozásoknak meg kell adniuk azt a linket, amelyen keresztül elérhető az instrumentum feltételeit </w:t>
            </w:r>
            <w:r w:rsidRPr="008853AD">
              <w:rPr>
                <w:rFonts w:ascii="Times New Roman" w:hAnsi="Times New Roman"/>
                <w:sz w:val="24"/>
              </w:rPr>
              <w:t>tartalmazó kibocsátási tájékoztató.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158F5F1" w14:textId="77777777" w:rsidR="00356888" w:rsidRDefault="00356888">
      <w:pPr>
        <w:rPr>
          <w:rFonts w:ascii="Times New Roman" w:hAnsi="Times New Roman" w:cs="Times New Roman"/>
          <w:bCs/>
          <w:sz w:val="24"/>
        </w:rPr>
      </w:pPr>
    </w:p>
    <w:sectPr w:rsidR="00356888">
      <w:headerReference w:type="default" r:id="rId8"/>
      <w:footerReference w:type="default" r:id="rId9"/>
      <w:pgSz w:w="11900" w:h="16840"/>
      <w:pgMar w:top="2268" w:right="1418" w:bottom="1134" w:left="1701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F71D3" w14:textId="77777777" w:rsidR="00356888" w:rsidRDefault="008853AD">
      <w:r>
        <w:separator/>
      </w:r>
    </w:p>
  </w:endnote>
  <w:endnote w:type="continuationSeparator" w:id="0">
    <w:p w14:paraId="738D66E6" w14:textId="77777777" w:rsidR="00356888" w:rsidRDefault="0088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BA679" w14:textId="77777777" w:rsidR="00356888" w:rsidRDefault="008853AD">
    <w:pPr>
      <w:pStyle w:val="Footer"/>
      <w:tabs>
        <w:tab w:val="clear" w:pos="4320"/>
        <w:tab w:val="clear" w:pos="8640"/>
        <w:tab w:val="right" w:pos="9071"/>
      </w:tabs>
    </w:pPr>
    <w:r>
      <w:t>HU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01E00" w14:textId="77777777" w:rsidR="00356888" w:rsidRDefault="008853AD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40C2EC73" w14:textId="77777777" w:rsidR="00356888" w:rsidRDefault="008853AD">
      <w:r>
        <w:continuationSeparator/>
      </w:r>
    </w:p>
  </w:footnote>
  <w:footnote w:type="continuationNotice" w:id="1">
    <w:p w14:paraId="3F9761AB" w14:textId="77777777" w:rsidR="00356888" w:rsidRDefault="0035688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FEF36" w14:textId="00C2E4AD" w:rsidR="00356888" w:rsidRDefault="008853A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CB679F" wp14:editId="7B7249D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1" name="MSIPCM930344a2adce340c5c337f4a" descr="{&quot;HashCode&quot;:-46641150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D590A1" w14:textId="6192BFDC" w:rsidR="008853AD" w:rsidRPr="008853AD" w:rsidRDefault="008853AD" w:rsidP="008853AD">
                          <w:pPr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8853AD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CB679F" id="_x0000_t202" coordsize="21600,21600" o:spt="202" path="m,l,21600r21600,l21600,xe">
              <v:stroke joinstyle="miter"/>
              <v:path gradientshapeok="t" o:connecttype="rect"/>
            </v:shapetype>
            <v:shape id="MSIPCM930344a2adce340c5c337f4a" o:spid="_x0000_s1026" type="#_x0000_t202" alt="{&quot;HashCode&quot;:-466411507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" o:allowincell="f" filled="f" stroked="f" strokeweight=".5pt">
              <v:fill o:detectmouseclick="t"/>
              <v:textbox inset="20pt,0,,0">
                <w:txbxContent>
                  <w:p w14:paraId="58D590A1" w14:textId="6192BFDC" w:rsidR="008853AD" w:rsidRPr="008853AD" w:rsidRDefault="008853AD" w:rsidP="008853AD">
                    <w:pPr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8853AD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"/>
  </w:num>
  <w:num w:numId="7">
    <w:abstractNumId w:val="13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356888"/>
    <w:rsid w:val="00356888"/>
    <w:rsid w:val="008853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AD67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pPr>
      <w:numPr>
        <w:ilvl w:val="1"/>
        <w:numId w:val="7"/>
      </w:numPr>
    </w:pPr>
  </w:style>
  <w:style w:type="paragraph" w:customStyle="1" w:styleId="Titlelevel2">
    <w:name w:val="Title level 2"/>
    <w:qFormat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table" w:styleId="TableGrid">
    <w:name w:val="Table Grid"/>
    <w:basedOn w:val="TableProfessional"/>
    <w:uiPriority w:val="59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</w:style>
  <w:style w:type="paragraph" w:customStyle="1" w:styleId="Numberedtitlelevel4">
    <w:name w:val="Numbered title level 4"/>
    <w:basedOn w:val="Titlelevel4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Title">
    <w:name w:val="Title"/>
    <w:basedOn w:val="Normal"/>
    <w:next w:val="Normal"/>
    <w:link w:val="TitleChar"/>
    <w:qFormat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2F5773" w:themeColor="accent1"/>
      <w:sz w:val="32"/>
      <w:szCs w:val="32"/>
      <w:lang w:val="hu-HU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Pr>
      <w:bCs/>
      <w:lang w:eastAsia="en-GB"/>
    </w:rPr>
  </w:style>
  <w:style w:type="paragraph" w:styleId="ListBullet">
    <w:name w:val="List Bullet"/>
    <w:basedOn w:val="Normal"/>
    <w:semiHidden/>
    <w:qFormat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pPr>
      <w:ind w:left="176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Title">
    <w:name w:val="TableTitle"/>
    <w:basedOn w:val="Normal"/>
    <w:next w:val="Normal"/>
    <w:link w:val="TableTitleChar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Pr>
      <w:rFonts w:ascii="Arial" w:eastAsia="MS Mincho" w:hAnsi="Arial" w:cs="Times New Roman"/>
      <w:b/>
      <w:noProof/>
      <w:sz w:val="22"/>
      <w:szCs w:val="20"/>
      <w:lang w:val="hu-HU"/>
    </w:rPr>
  </w:style>
  <w:style w:type="paragraph" w:styleId="Revision">
    <w:name w:val="Revision"/>
    <w:hidden/>
    <w:uiPriority w:val="99"/>
    <w:semiHidden/>
    <w:rPr>
      <w:sz w:val="22"/>
    </w:r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jc w:val="both"/>
    </w:pPr>
    <w:rPr>
      <w:rFonts w:ascii="Times New Roman" w:eastAsiaTheme="majorEastAsia" w:hAnsi="Times New Roman" w:cs="Arial"/>
      <w:bCs/>
      <w:szCs w:val="22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Theme="majorEastAsia" w:hAnsi="Times New Roman" w:cs="Arial"/>
      <w:bCs/>
      <w:sz w:val="22"/>
      <w:szCs w:val="22"/>
      <w:lang w:val="hu-HU" w:eastAsia="de-DE"/>
    </w:rPr>
  </w:style>
  <w:style w:type="character" w:customStyle="1" w:styleId="ListParagraphChar">
    <w:name w:val="List Paragraph Char"/>
    <w:link w:val="ListParagraph"/>
    <w:uiPriority w:val="34"/>
    <w:rPr>
      <w:rFonts w:ascii="Calibri" w:eastAsia="Calibri" w:hAnsi="Calibri" w:cs="Times New Roman"/>
      <w:sz w:val="22"/>
      <w:szCs w:val="22"/>
      <w:lang w:val="hu-HU"/>
    </w:rPr>
  </w:style>
  <w:style w:type="paragraph" w:customStyle="1" w:styleId="InstructionsText2">
    <w:name w:val="Instructions Text 2"/>
    <w:basedOn w:val="InstructionsText"/>
    <w:qFormat/>
    <w:pPr>
      <w:numPr>
        <w:numId w:val="16"/>
      </w:numPr>
      <w:spacing w:after="240"/>
    </w:pPr>
    <w:rPr>
      <w:rFonts w:eastAsia="Times New Roman" w:cs="Times New Roman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EE7CAA-FF76-418C-AA28-C4EAF2F2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8742</Words>
  <Characters>49836</Characters>
  <Application>Microsoft Office Word</Application>
  <DocSecurity>0</DocSecurity>
  <Lines>415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2021-11-25T14:53:00Z</dcterms:created>
  <dcterms:modified xsi:type="dcterms:W3CDTF">2022-01-14T16:25:00Z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2022-01-14T16:25:02Z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3c6735ca-e07c-4812-8ef4-e71352199b2d</vt:lpwstr>
  </property>
  <property fmtid="{D5CDD505-2E9C-101B-9397-08002B2CF9AE}" pid="8" name="MSIP_Label_5c7eb9de-735b-4a68-8fe4-c9c62709b012_ContentBits">
    <vt:lpwstr>1</vt:lpwstr>
  </property>
</Properties>
</file>