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059DA" w14:textId="77777777" w:rsidR="000B1B99" w:rsidRPr="007B1664" w:rsidRDefault="007B1664">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7B1664">
        <w:rPr>
          <w:rFonts w:ascii="Times New Roman" w:hAnsi="Times New Roman"/>
          <w:b/>
          <w:sz w:val="24"/>
          <w:szCs w:val="24"/>
        </w:rPr>
        <w:t>PT</w:t>
      </w:r>
      <w:r w:rsidRPr="007B1664">
        <w:rPr>
          <w:rFonts w:ascii="Times New Roman" w:hAnsi="Times New Roman"/>
          <w:b/>
          <w:sz w:val="24"/>
          <w:szCs w:val="24"/>
        </w:rPr>
        <w:br/>
        <w:t>ANEXO II</w:t>
      </w:r>
    </w:p>
    <w:p w14:paraId="1383E07B" w14:textId="77777777" w:rsidR="000B1B99" w:rsidRPr="007B1664" w:rsidRDefault="007B1664">
      <w:pPr>
        <w:spacing w:after="240" w:line="240" w:lineRule="auto"/>
        <w:jc w:val="center"/>
        <w:rPr>
          <w:rFonts w:ascii="Times New Roman" w:eastAsia="Times New Roman" w:hAnsi="Times New Roman" w:cs="Times New Roman"/>
          <w:b/>
          <w:sz w:val="24"/>
          <w:szCs w:val="20"/>
          <w:u w:val="single"/>
        </w:rPr>
      </w:pPr>
      <w:r w:rsidRPr="007B1664">
        <w:rPr>
          <w:rFonts w:ascii="Times New Roman" w:hAnsi="Times New Roman"/>
          <w:b/>
          <w:sz w:val="24"/>
          <w:szCs w:val="20"/>
          <w:u w:val="single"/>
        </w:rPr>
        <w:t>ANEXO II</w:t>
      </w:r>
      <w:bookmarkEnd w:id="0"/>
      <w:bookmarkEnd w:id="1"/>
    </w:p>
    <w:p w14:paraId="454791D2" w14:textId="77777777" w:rsidR="000B1B99" w:rsidRPr="007B1664" w:rsidRDefault="007B1664">
      <w:pPr>
        <w:spacing w:after="240" w:line="240" w:lineRule="auto"/>
        <w:jc w:val="center"/>
        <w:rPr>
          <w:rFonts w:ascii="Times New Roman" w:eastAsia="Times New Roman" w:hAnsi="Times New Roman" w:cs="Times New Roman"/>
          <w:b/>
          <w:sz w:val="24"/>
          <w:szCs w:val="20"/>
        </w:rPr>
      </w:pPr>
      <w:r w:rsidRPr="007B1664">
        <w:rPr>
          <w:rFonts w:ascii="Times New Roman" w:hAnsi="Times New Roman"/>
          <w:b/>
          <w:sz w:val="24"/>
          <w:szCs w:val="20"/>
        </w:rPr>
        <w:t>COMUNICAÇÃO DE INFORMAÇÕES POR PARTE DE EMPRESAS DE INVESTIMENTO QUE NÃO SÃO EMPRESAS DE INVESTIMENTO DE PEQUENA DIMENSÃO NÃO INTERLIGADAS</w:t>
      </w:r>
    </w:p>
    <w:p w14:paraId="65B1F589" w14:textId="77777777" w:rsidR="000B1B99" w:rsidRPr="007B1664" w:rsidRDefault="007B1664">
      <w:pPr>
        <w:spacing w:after="240" w:line="240" w:lineRule="auto"/>
        <w:rPr>
          <w:rFonts w:ascii="Times New Roman" w:eastAsia="Times New Roman" w:hAnsi="Times New Roman" w:cs="Times New Roman"/>
          <w:sz w:val="24"/>
          <w:szCs w:val="24"/>
        </w:rPr>
      </w:pPr>
      <w:r w:rsidRPr="007B1664">
        <w:rPr>
          <w:rFonts w:ascii="Times New Roman" w:hAnsi="Times New Roman"/>
          <w:sz w:val="24"/>
          <w:szCs w:val="24"/>
        </w:rPr>
        <w:t>Índice</w:t>
      </w:r>
    </w:p>
    <w:p w14:paraId="77257736"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PARTE I: INSTRUÇÕES GERAIS</w:t>
      </w:r>
      <w:r w:rsidRPr="007B1664">
        <w:rPr>
          <w:noProof/>
        </w:rPr>
        <w:tab/>
        <w:t>4</w:t>
      </w:r>
    </w:p>
    <w:p w14:paraId="735B48C7"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1. Estrutura e convenções</w:t>
      </w:r>
      <w:r w:rsidRPr="007B1664">
        <w:rPr>
          <w:noProof/>
        </w:rPr>
        <w:tab/>
        <w:t>4</w:t>
      </w:r>
    </w:p>
    <w:p w14:paraId="1003E55E"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 xml:space="preserve">1.1. </w:t>
      </w:r>
      <w:r w:rsidRPr="007B1664">
        <w:rPr>
          <w:rFonts w:ascii="Times New Roman" w:hAnsi="Times New Roman"/>
          <w:noProof/>
        </w:rPr>
        <w:t>Estrutura</w:t>
      </w:r>
      <w:r w:rsidRPr="007B1664">
        <w:rPr>
          <w:noProof/>
        </w:rPr>
        <w:tab/>
        <w:t>4</w:t>
      </w:r>
    </w:p>
    <w:p w14:paraId="0083105C"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1.2. Convenções relativas à numeração</w:t>
      </w:r>
      <w:r w:rsidRPr="007B1664">
        <w:rPr>
          <w:noProof/>
        </w:rPr>
        <w:tab/>
        <w:t>4</w:t>
      </w:r>
    </w:p>
    <w:p w14:paraId="3F17384B"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1.3. Sinais convencionados</w:t>
      </w:r>
      <w:r w:rsidRPr="007B1664">
        <w:rPr>
          <w:noProof/>
        </w:rPr>
        <w:tab/>
        <w:t>4</w:t>
      </w:r>
    </w:p>
    <w:p w14:paraId="78D768CA"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1.4 Consolidação prudencial</w:t>
      </w:r>
      <w:r w:rsidRPr="007B1664">
        <w:rPr>
          <w:noProof/>
        </w:rPr>
        <w:tab/>
        <w:t>4</w:t>
      </w:r>
    </w:p>
    <w:p w14:paraId="7ADC06FD" w14:textId="77777777" w:rsidR="000B1B99" w:rsidRPr="007B1664" w:rsidRDefault="007B1664">
      <w:pPr>
        <w:pStyle w:val="TOC2"/>
        <w:tabs>
          <w:tab w:val="right" w:leader="dot" w:pos="9016"/>
        </w:tabs>
        <w:spacing w:before="240"/>
        <w:ind w:left="221"/>
        <w:rPr>
          <w:rFonts w:eastAsiaTheme="minorEastAsia"/>
          <w:noProof/>
        </w:rPr>
      </w:pPr>
      <w:r w:rsidRPr="007B1664">
        <w:rPr>
          <w:rFonts w:ascii="Times New Roman" w:hAnsi="Times New Roman"/>
          <w:noProof/>
        </w:rPr>
        <w:t>PARTE II: INSTRUÇÕES RESPEITANTES AOS MODELOS</w:t>
      </w:r>
      <w:r w:rsidRPr="007B1664">
        <w:rPr>
          <w:noProof/>
        </w:rPr>
        <w:tab/>
        <w:t>5</w:t>
      </w:r>
    </w:p>
    <w:p w14:paraId="6605109E"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b/>
          <w:noProof/>
        </w:rPr>
        <w:t>1. FUNDOS PRÓPRIOS: NÍVEL, COMPOSIÇÃO, REQUISITOS E CÁLCULO</w:t>
      </w:r>
      <w:r w:rsidRPr="007B1664">
        <w:rPr>
          <w:noProof/>
        </w:rPr>
        <w:tab/>
        <w:t>5</w:t>
      </w:r>
    </w:p>
    <w:p w14:paraId="6B5B6F36"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1.1. Observações gerais</w:t>
      </w:r>
      <w:r w:rsidRPr="007B1664">
        <w:rPr>
          <w:noProof/>
        </w:rPr>
        <w:tab/>
        <w:t>5</w:t>
      </w:r>
    </w:p>
    <w:p w14:paraId="2DC66773"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 xml:space="preserve">1.2. I </w:t>
      </w:r>
      <w:r w:rsidRPr="007B1664">
        <w:rPr>
          <w:rFonts w:ascii="Times New Roman" w:hAnsi="Times New Roman"/>
          <w:noProof/>
        </w:rPr>
        <w:t>01.00 - COMPOSIÇÃO DOS FUNDOS PRÓPRIOS (I 1)</w:t>
      </w:r>
      <w:r w:rsidRPr="007B1664">
        <w:rPr>
          <w:noProof/>
        </w:rPr>
        <w:tab/>
        <w:t>5</w:t>
      </w:r>
    </w:p>
    <w:p w14:paraId="2F7B71EF"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1.2.1.</w:t>
      </w:r>
      <w:r w:rsidRPr="007B1664">
        <w:rPr>
          <w:rFonts w:eastAsiaTheme="minorEastAsia"/>
          <w:noProof/>
        </w:rPr>
        <w:tab/>
      </w:r>
      <w:r w:rsidRPr="007B1664">
        <w:rPr>
          <w:rFonts w:ascii="Times New Roman" w:hAnsi="Times New Roman"/>
          <w:noProof/>
        </w:rPr>
        <w:t>Instruções relativas a posições específicas</w:t>
      </w:r>
      <w:r w:rsidRPr="007B1664">
        <w:rPr>
          <w:noProof/>
        </w:rPr>
        <w:tab/>
        <w:t>5</w:t>
      </w:r>
    </w:p>
    <w:p w14:paraId="2DCE986B"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1.3. I 02.01 - REQUISITOS DE FUNDOS PRÓPRIOS (I 2.1)</w:t>
      </w:r>
      <w:r w:rsidRPr="007B1664">
        <w:rPr>
          <w:noProof/>
        </w:rPr>
        <w:tab/>
        <w:t>13</w:t>
      </w:r>
    </w:p>
    <w:p w14:paraId="69BA1C5B"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1.3.1.</w:t>
      </w:r>
      <w:r w:rsidRPr="007B1664">
        <w:rPr>
          <w:rFonts w:ascii="Times New Roman" w:hAnsi="Times New Roman"/>
          <w:noProof/>
        </w:rPr>
        <w:tab/>
        <w:t>Instruções relativas a posições específicas</w:t>
      </w:r>
      <w:r w:rsidRPr="007B1664">
        <w:rPr>
          <w:noProof/>
        </w:rPr>
        <w:tab/>
        <w:t>13</w:t>
      </w:r>
    </w:p>
    <w:p w14:paraId="23DEC6F2"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1.4. I 02.02 – RÁCIOS DE FUNDOS PRÓPRIOS (I 2.</w:t>
      </w:r>
      <w:r w:rsidRPr="007B1664">
        <w:rPr>
          <w:rFonts w:ascii="Times New Roman" w:hAnsi="Times New Roman"/>
          <w:noProof/>
        </w:rPr>
        <w:t>2)</w:t>
      </w:r>
      <w:r w:rsidRPr="007B1664">
        <w:rPr>
          <w:noProof/>
        </w:rPr>
        <w:tab/>
        <w:t>14</w:t>
      </w:r>
    </w:p>
    <w:p w14:paraId="3482FD5E"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1.4.1.</w:t>
      </w:r>
      <w:r w:rsidRPr="007B1664">
        <w:rPr>
          <w:rFonts w:eastAsiaTheme="minorEastAsia"/>
          <w:noProof/>
        </w:rPr>
        <w:tab/>
      </w:r>
      <w:r w:rsidRPr="007B1664">
        <w:rPr>
          <w:rFonts w:ascii="Times New Roman" w:hAnsi="Times New Roman"/>
          <w:noProof/>
        </w:rPr>
        <w:t>Instruções relativas a posições específicas</w:t>
      </w:r>
      <w:r w:rsidRPr="007B1664">
        <w:rPr>
          <w:noProof/>
        </w:rPr>
        <w:tab/>
        <w:t>14</w:t>
      </w:r>
    </w:p>
    <w:p w14:paraId="203ED59E"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1.5. I 03.00 – CÁLCULO DO REQUISITO BASEADO NAS DESPESAS GERAIS FIXAS (I 3)</w:t>
      </w:r>
      <w:r w:rsidRPr="007B1664">
        <w:rPr>
          <w:noProof/>
        </w:rPr>
        <w:tab/>
        <w:t>15</w:t>
      </w:r>
    </w:p>
    <w:p w14:paraId="2595D967"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1.5.1.</w:t>
      </w:r>
      <w:r w:rsidRPr="007B1664">
        <w:rPr>
          <w:rFonts w:eastAsiaTheme="minorEastAsia"/>
          <w:noProof/>
        </w:rPr>
        <w:tab/>
      </w:r>
      <w:r w:rsidRPr="007B1664">
        <w:rPr>
          <w:rFonts w:ascii="Times New Roman" w:hAnsi="Times New Roman"/>
          <w:noProof/>
        </w:rPr>
        <w:t>Instruções relativas a posições específicas</w:t>
      </w:r>
      <w:r w:rsidRPr="007B1664">
        <w:rPr>
          <w:noProof/>
        </w:rPr>
        <w:tab/>
        <w:t>15</w:t>
      </w:r>
    </w:p>
    <w:p w14:paraId="00C21771"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 xml:space="preserve">1.6. I 04.00 - CÁLCULOS DO REQUISITO TOTAL BASEADO NOS FATORES </w:t>
      </w:r>
      <w:r w:rsidRPr="007B1664">
        <w:rPr>
          <w:rFonts w:ascii="Times New Roman" w:hAnsi="Times New Roman"/>
          <w:noProof/>
        </w:rPr>
        <w:t>K (I 4)</w:t>
      </w:r>
      <w:r w:rsidRPr="007B1664">
        <w:rPr>
          <w:noProof/>
        </w:rPr>
        <w:tab/>
        <w:t>18</w:t>
      </w:r>
    </w:p>
    <w:p w14:paraId="310A076B"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1.6.1.</w:t>
      </w:r>
      <w:r w:rsidRPr="007B1664">
        <w:rPr>
          <w:rFonts w:ascii="Times New Roman" w:hAnsi="Times New Roman"/>
          <w:noProof/>
        </w:rPr>
        <w:tab/>
        <w:t>Instruções relativas a posições específicas</w:t>
      </w:r>
      <w:r w:rsidRPr="007B1664">
        <w:rPr>
          <w:noProof/>
        </w:rPr>
        <w:tab/>
        <w:t>18</w:t>
      </w:r>
    </w:p>
    <w:p w14:paraId="68CB64A5"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b/>
          <w:noProof/>
        </w:rPr>
        <w:t>2. EMPRESAS DE INVESTIMENTO DE PEQUENA DIMENSÃO E NÃO INTERLIGADAS</w:t>
      </w:r>
      <w:r w:rsidRPr="007B1664">
        <w:rPr>
          <w:noProof/>
        </w:rPr>
        <w:tab/>
        <w:t>20</w:t>
      </w:r>
    </w:p>
    <w:p w14:paraId="5DE0EBF0"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2.1. I 05.00 - NÍVEL DE ATIVIDADE - ANÁLISE DOS LIMIARES (I 5)</w:t>
      </w:r>
      <w:r w:rsidRPr="007B1664">
        <w:rPr>
          <w:noProof/>
        </w:rPr>
        <w:tab/>
        <w:t>20</w:t>
      </w:r>
    </w:p>
    <w:p w14:paraId="18C83E31"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2.1.1.</w:t>
      </w:r>
      <w:r w:rsidRPr="007B1664">
        <w:rPr>
          <w:rFonts w:eastAsiaTheme="minorEastAsia"/>
          <w:noProof/>
        </w:rPr>
        <w:tab/>
      </w:r>
      <w:r w:rsidRPr="007B1664">
        <w:rPr>
          <w:rFonts w:ascii="Times New Roman" w:hAnsi="Times New Roman"/>
          <w:noProof/>
        </w:rPr>
        <w:t>Instruções relativas a posições específicas</w:t>
      </w:r>
      <w:r w:rsidRPr="007B1664">
        <w:rPr>
          <w:noProof/>
        </w:rPr>
        <w:tab/>
        <w:t>20</w:t>
      </w:r>
    </w:p>
    <w:p w14:paraId="550695C5"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b/>
          <w:noProof/>
        </w:rPr>
        <w:t>3</w:t>
      </w:r>
      <w:r w:rsidRPr="007B1664">
        <w:rPr>
          <w:rFonts w:ascii="Times New Roman" w:hAnsi="Times New Roman"/>
          <w:b/>
          <w:noProof/>
        </w:rPr>
        <w:t>. REQUISITOS BASEADOS NOS FATORES K - PORMENORES ADICIONAIS</w:t>
      </w:r>
      <w:r w:rsidRPr="007B1664">
        <w:rPr>
          <w:noProof/>
        </w:rPr>
        <w:tab/>
        <w:t>23</w:t>
      </w:r>
    </w:p>
    <w:p w14:paraId="78AC9AB4"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3.2. I 06.01 – ATIVOS SOB GESTÃO - INFORMAÇÕES ADICIONAIS (I 6.1)</w:t>
      </w:r>
      <w:r w:rsidRPr="007B1664">
        <w:rPr>
          <w:noProof/>
        </w:rPr>
        <w:tab/>
        <w:t>23</w:t>
      </w:r>
    </w:p>
    <w:p w14:paraId="10B7DA10"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3.2.1.</w:t>
      </w:r>
      <w:r w:rsidRPr="007B1664">
        <w:rPr>
          <w:rFonts w:ascii="Times New Roman" w:hAnsi="Times New Roman"/>
          <w:noProof/>
        </w:rPr>
        <w:tab/>
        <w:t>Instruções relativas a posições específicas</w:t>
      </w:r>
      <w:r w:rsidRPr="007B1664">
        <w:rPr>
          <w:noProof/>
        </w:rPr>
        <w:tab/>
        <w:t>23</w:t>
      </w:r>
    </w:p>
    <w:p w14:paraId="7835563A"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3.3. I 06.02 – ATIVOS SOB GESTÃO MENSAIS (I 6.2)</w:t>
      </w:r>
      <w:r w:rsidRPr="007B1664">
        <w:rPr>
          <w:noProof/>
        </w:rPr>
        <w:tab/>
        <w:t>24</w:t>
      </w:r>
    </w:p>
    <w:p w14:paraId="3139D4AD"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3.3.1.</w:t>
      </w:r>
      <w:r w:rsidRPr="007B1664">
        <w:rPr>
          <w:rFonts w:eastAsiaTheme="minorEastAsia"/>
          <w:noProof/>
        </w:rPr>
        <w:tab/>
      </w:r>
      <w:r w:rsidRPr="007B1664">
        <w:rPr>
          <w:rFonts w:ascii="Times New Roman" w:hAnsi="Times New Roman"/>
          <w:noProof/>
        </w:rPr>
        <w:t xml:space="preserve">Instruções </w:t>
      </w:r>
      <w:r w:rsidRPr="007B1664">
        <w:rPr>
          <w:rFonts w:ascii="Times New Roman" w:hAnsi="Times New Roman"/>
          <w:noProof/>
        </w:rPr>
        <w:t>relativas a posições específicas</w:t>
      </w:r>
      <w:r w:rsidRPr="007B1664">
        <w:rPr>
          <w:noProof/>
        </w:rPr>
        <w:tab/>
        <w:t>24</w:t>
      </w:r>
    </w:p>
    <w:p w14:paraId="12A0B004"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lastRenderedPageBreak/>
        <w:t>3.4. I 06.03 – FUNDOS DE CLIENTES DETIDOS - INFORMAÇÕES ADICIONAIS (I 6.3)</w:t>
      </w:r>
      <w:r w:rsidRPr="007B1664">
        <w:rPr>
          <w:noProof/>
        </w:rPr>
        <w:tab/>
        <w:t>25</w:t>
      </w:r>
    </w:p>
    <w:p w14:paraId="398D41A6"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3.4.1.</w:t>
      </w:r>
      <w:r w:rsidRPr="007B1664">
        <w:rPr>
          <w:rFonts w:eastAsiaTheme="minorEastAsia"/>
          <w:noProof/>
        </w:rPr>
        <w:tab/>
      </w:r>
      <w:r w:rsidRPr="007B1664">
        <w:rPr>
          <w:rFonts w:ascii="Times New Roman" w:hAnsi="Times New Roman"/>
          <w:noProof/>
        </w:rPr>
        <w:t>Instruções relativas a posições específicas</w:t>
      </w:r>
      <w:r w:rsidRPr="007B1664">
        <w:rPr>
          <w:noProof/>
        </w:rPr>
        <w:tab/>
        <w:t>25</w:t>
      </w:r>
    </w:p>
    <w:p w14:paraId="7B1C5FFB"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3.5. I 06.04 – VALOR MÉDIO DOS TOTAIS DIÁRIOS DE FUNDOS DE CLIENTES DETIDOS (I 6.4)</w:t>
      </w:r>
      <w:r w:rsidRPr="007B1664">
        <w:rPr>
          <w:noProof/>
        </w:rPr>
        <w:tab/>
        <w:t>25</w:t>
      </w:r>
    </w:p>
    <w:p w14:paraId="0A9B28DB"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3</w:t>
      </w:r>
      <w:r w:rsidRPr="007B1664">
        <w:rPr>
          <w:rFonts w:ascii="Times New Roman" w:hAnsi="Times New Roman"/>
          <w:noProof/>
        </w:rPr>
        <w:t>.5.1.</w:t>
      </w:r>
      <w:r w:rsidRPr="007B1664">
        <w:rPr>
          <w:rFonts w:ascii="Times New Roman" w:hAnsi="Times New Roman"/>
          <w:noProof/>
        </w:rPr>
        <w:tab/>
        <w:t>Instruções relativas a posições específicas</w:t>
      </w:r>
      <w:r w:rsidRPr="007B1664">
        <w:rPr>
          <w:noProof/>
        </w:rPr>
        <w:tab/>
        <w:t>25</w:t>
      </w:r>
    </w:p>
    <w:p w14:paraId="7D7B1905"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3.6. I 06.05 – ATIVOS OBJETO DE GUARDA E ADMINISTRAÇÃO - INFORMAÇÕES ADICIONAIS (I 6.5)</w:t>
      </w:r>
      <w:r w:rsidRPr="007B1664">
        <w:rPr>
          <w:noProof/>
        </w:rPr>
        <w:tab/>
        <w:t>26</w:t>
      </w:r>
    </w:p>
    <w:p w14:paraId="767BCF3F"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3.6.1.</w:t>
      </w:r>
      <w:r w:rsidRPr="007B1664">
        <w:rPr>
          <w:rFonts w:ascii="Times New Roman" w:hAnsi="Times New Roman"/>
          <w:noProof/>
        </w:rPr>
        <w:tab/>
        <w:t>Instruções relativas a posições específicas</w:t>
      </w:r>
      <w:r w:rsidRPr="007B1664">
        <w:rPr>
          <w:noProof/>
        </w:rPr>
        <w:tab/>
        <w:t>26</w:t>
      </w:r>
    </w:p>
    <w:p w14:paraId="06CA9C9A"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3.7. I 06.06 – VALOR MÉDIO DOS TOTAIS DIÁRIOS DE ATIVOS OB</w:t>
      </w:r>
      <w:r w:rsidRPr="007B1664">
        <w:rPr>
          <w:rFonts w:ascii="Times New Roman" w:hAnsi="Times New Roman"/>
          <w:noProof/>
        </w:rPr>
        <w:t>JETO DE GUARDA E ADMINISTRAÇÃO (I 6.6)</w:t>
      </w:r>
      <w:r w:rsidRPr="007B1664">
        <w:rPr>
          <w:noProof/>
        </w:rPr>
        <w:tab/>
        <w:t>27</w:t>
      </w:r>
    </w:p>
    <w:p w14:paraId="25E66509"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3.7.1.</w:t>
      </w:r>
      <w:r w:rsidRPr="007B1664">
        <w:rPr>
          <w:rFonts w:eastAsiaTheme="minorEastAsia"/>
          <w:noProof/>
        </w:rPr>
        <w:tab/>
      </w:r>
      <w:r w:rsidRPr="007B1664">
        <w:rPr>
          <w:rFonts w:ascii="Times New Roman" w:hAnsi="Times New Roman"/>
          <w:noProof/>
        </w:rPr>
        <w:t>Instruções relativas a posições específicas</w:t>
      </w:r>
      <w:r w:rsidRPr="007B1664">
        <w:rPr>
          <w:noProof/>
        </w:rPr>
        <w:tab/>
        <w:t>27</w:t>
      </w:r>
    </w:p>
    <w:p w14:paraId="12BEE0BD"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3.8. I 06.07 – ORDENS DE CLIENTES TRATADAS - INFORMAÇÕES ADICIONAIS (I 6.7)</w:t>
      </w:r>
      <w:r w:rsidRPr="007B1664">
        <w:rPr>
          <w:noProof/>
        </w:rPr>
        <w:tab/>
        <w:t>28</w:t>
      </w:r>
    </w:p>
    <w:p w14:paraId="3FC07DAA"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3.8.1.</w:t>
      </w:r>
      <w:r w:rsidRPr="007B1664">
        <w:rPr>
          <w:rFonts w:eastAsiaTheme="minorEastAsia"/>
          <w:noProof/>
        </w:rPr>
        <w:tab/>
      </w:r>
      <w:r w:rsidRPr="007B1664">
        <w:rPr>
          <w:rFonts w:ascii="Times New Roman" w:hAnsi="Times New Roman"/>
          <w:noProof/>
        </w:rPr>
        <w:t>Instruções relativas a posições específicas</w:t>
      </w:r>
      <w:r w:rsidRPr="007B1664">
        <w:rPr>
          <w:noProof/>
        </w:rPr>
        <w:tab/>
        <w:t>28</w:t>
      </w:r>
    </w:p>
    <w:p w14:paraId="56A1B5C7"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 xml:space="preserve">3.9. I 06.08 – VALOR </w:t>
      </w:r>
      <w:r w:rsidRPr="007B1664">
        <w:rPr>
          <w:rFonts w:ascii="Times New Roman" w:hAnsi="Times New Roman"/>
          <w:noProof/>
        </w:rPr>
        <w:t>MÉDIO DOS TOTAIS DIÁRIOS DAS ORDENS DE CLIENTES TRATADAS (I 6.8)</w:t>
      </w:r>
      <w:r w:rsidRPr="007B1664">
        <w:rPr>
          <w:noProof/>
        </w:rPr>
        <w:tab/>
        <w:t>29</w:t>
      </w:r>
    </w:p>
    <w:p w14:paraId="14C77707"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3.9.1.</w:t>
      </w:r>
      <w:r w:rsidRPr="007B1664">
        <w:rPr>
          <w:rFonts w:eastAsiaTheme="minorEastAsia"/>
          <w:noProof/>
        </w:rPr>
        <w:tab/>
      </w:r>
      <w:r w:rsidRPr="007B1664">
        <w:rPr>
          <w:rFonts w:ascii="Times New Roman" w:hAnsi="Times New Roman"/>
          <w:noProof/>
        </w:rPr>
        <w:t>Instruções relativas a posições específicas</w:t>
      </w:r>
      <w:r w:rsidRPr="007B1664">
        <w:rPr>
          <w:noProof/>
        </w:rPr>
        <w:tab/>
        <w:t>29</w:t>
      </w:r>
    </w:p>
    <w:p w14:paraId="432DF1F4"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3.10. I 06.09 – K - RISCO DE POSIÇÃO LÍQUIDA - INFORMAÇÕES ADICIONAIS (I 6.9)</w:t>
      </w:r>
      <w:r w:rsidRPr="007B1664">
        <w:rPr>
          <w:noProof/>
        </w:rPr>
        <w:tab/>
        <w:t>30</w:t>
      </w:r>
    </w:p>
    <w:p w14:paraId="54A7F023"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3.10.1.</w:t>
      </w:r>
      <w:r w:rsidRPr="007B1664">
        <w:rPr>
          <w:rFonts w:eastAsiaTheme="minorEastAsia"/>
          <w:noProof/>
        </w:rPr>
        <w:tab/>
      </w:r>
      <w:r w:rsidRPr="007B1664">
        <w:rPr>
          <w:rFonts w:ascii="Times New Roman" w:hAnsi="Times New Roman"/>
          <w:noProof/>
        </w:rPr>
        <w:t>Instruções relativas a posições específicas</w:t>
      </w:r>
      <w:r w:rsidRPr="007B1664">
        <w:rPr>
          <w:noProof/>
        </w:rPr>
        <w:tab/>
        <w:t>3</w:t>
      </w:r>
      <w:r w:rsidRPr="007B1664">
        <w:rPr>
          <w:noProof/>
        </w:rPr>
        <w:t>0</w:t>
      </w:r>
    </w:p>
    <w:p w14:paraId="49B44807"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3.11. I 06.10 – MARGEM DE COMPENSAÇÃO CONCEDIDA - INFORMAÇÕES ADICIONAIS (I 6.10)</w:t>
      </w:r>
      <w:r w:rsidRPr="007B1664">
        <w:rPr>
          <w:noProof/>
        </w:rPr>
        <w:tab/>
        <w:t>32</w:t>
      </w:r>
    </w:p>
    <w:p w14:paraId="243C222A"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3.11.1. Instruções relativas a posições específicas</w:t>
      </w:r>
      <w:r w:rsidRPr="007B1664">
        <w:rPr>
          <w:noProof/>
        </w:rPr>
        <w:tab/>
        <w:t>32</w:t>
      </w:r>
    </w:p>
    <w:p w14:paraId="31F77522"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3.12. I 06.11 – INCUMPRIMENTO DA CONTRAPARTE NA NEGOCIAÇÃO - INFORMAÇÕES ADICIONAIS SOBRE INCUMPRIMENTO DA CONTRAP</w:t>
      </w:r>
      <w:r w:rsidRPr="007B1664">
        <w:rPr>
          <w:rFonts w:ascii="Times New Roman" w:hAnsi="Times New Roman"/>
          <w:noProof/>
        </w:rPr>
        <w:t>ARTE NA NEGOCIAÇÃO (TCD) (I 6.11)</w:t>
      </w:r>
      <w:r w:rsidRPr="007B1664">
        <w:rPr>
          <w:noProof/>
        </w:rPr>
        <w:tab/>
        <w:t>33</w:t>
      </w:r>
    </w:p>
    <w:p w14:paraId="7D5564F3"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3.12.1.</w:t>
      </w:r>
      <w:r w:rsidRPr="007B1664">
        <w:rPr>
          <w:rFonts w:eastAsiaTheme="minorEastAsia"/>
          <w:noProof/>
        </w:rPr>
        <w:tab/>
      </w:r>
      <w:r w:rsidRPr="007B1664">
        <w:rPr>
          <w:rFonts w:ascii="Times New Roman" w:hAnsi="Times New Roman"/>
          <w:noProof/>
        </w:rPr>
        <w:t>Instruções relativas a posições específicas</w:t>
      </w:r>
      <w:r w:rsidRPr="007B1664">
        <w:rPr>
          <w:noProof/>
        </w:rPr>
        <w:tab/>
        <w:t>33</w:t>
      </w:r>
    </w:p>
    <w:p w14:paraId="500EC90B"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3.13. I 06.12 – FLUXO DIÁRIO DE NEGOCIAÇÃO - INFORMAÇÕES ADICIONAIS (I 6.12)</w:t>
      </w:r>
      <w:r w:rsidRPr="007B1664">
        <w:rPr>
          <w:noProof/>
        </w:rPr>
        <w:tab/>
        <w:t>35</w:t>
      </w:r>
    </w:p>
    <w:p w14:paraId="6243941E" w14:textId="77777777" w:rsidR="000B1B99" w:rsidRPr="007B1664" w:rsidRDefault="007B1664">
      <w:pPr>
        <w:pStyle w:val="TOC2"/>
        <w:tabs>
          <w:tab w:val="left" w:pos="1320"/>
          <w:tab w:val="right" w:leader="dot" w:pos="9016"/>
        </w:tabs>
        <w:rPr>
          <w:rFonts w:eastAsiaTheme="minorEastAsia"/>
          <w:noProof/>
        </w:rPr>
      </w:pPr>
      <w:r w:rsidRPr="007B1664">
        <w:rPr>
          <w:rFonts w:ascii="Times New Roman" w:hAnsi="Times New Roman"/>
          <w:noProof/>
        </w:rPr>
        <w:t>3.13.1.</w:t>
      </w:r>
      <w:r w:rsidRPr="007B1664">
        <w:rPr>
          <w:rFonts w:ascii="Times New Roman" w:hAnsi="Times New Roman"/>
          <w:noProof/>
        </w:rPr>
        <w:tab/>
        <w:t>Instruções relativas a posições específicas</w:t>
      </w:r>
      <w:r w:rsidRPr="007B1664">
        <w:rPr>
          <w:noProof/>
        </w:rPr>
        <w:tab/>
        <w:t>35</w:t>
      </w:r>
    </w:p>
    <w:p w14:paraId="55963D08"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3.14. I 06.13 – VALOR MÉDIO D</w:t>
      </w:r>
      <w:r w:rsidRPr="007B1664">
        <w:rPr>
          <w:rFonts w:ascii="Times New Roman" w:hAnsi="Times New Roman"/>
          <w:noProof/>
        </w:rPr>
        <w:t>OS TOTAIS DE FLUXOS DIÁRIOS DE NEGOCIAÇÃO (I 6.13)</w:t>
      </w:r>
      <w:r w:rsidRPr="007B1664">
        <w:rPr>
          <w:noProof/>
        </w:rPr>
        <w:tab/>
        <w:t>35</w:t>
      </w:r>
    </w:p>
    <w:p w14:paraId="7FB03897"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3.14.1. Instruções relativas a posições específicas</w:t>
      </w:r>
      <w:r w:rsidRPr="007B1664">
        <w:rPr>
          <w:noProof/>
        </w:rPr>
        <w:tab/>
        <w:t>35</w:t>
      </w:r>
    </w:p>
    <w:p w14:paraId="2677ED25"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b/>
          <w:noProof/>
        </w:rPr>
        <w:t>4. COMUNICAÇÃO DE INFORMAÇÕES SOBRE O RISCO DE CONCENTRAÇÃO</w:t>
      </w:r>
      <w:r w:rsidRPr="007B1664">
        <w:rPr>
          <w:noProof/>
        </w:rPr>
        <w:tab/>
        <w:t>36</w:t>
      </w:r>
    </w:p>
    <w:p w14:paraId="61D17AAF"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4.1. Observações gerais</w:t>
      </w:r>
      <w:r w:rsidRPr="007B1664">
        <w:rPr>
          <w:noProof/>
        </w:rPr>
        <w:tab/>
        <w:t>36</w:t>
      </w:r>
    </w:p>
    <w:p w14:paraId="3C5C6809"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4.2. I 07.00 K-CON - INFORMAÇÕES ADICIONAIS (I7)</w:t>
      </w:r>
      <w:r w:rsidRPr="007B1664">
        <w:rPr>
          <w:noProof/>
        </w:rPr>
        <w:tab/>
        <w:t>37</w:t>
      </w:r>
    </w:p>
    <w:p w14:paraId="401000A7"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4.2.1</w:t>
      </w:r>
      <w:r w:rsidRPr="007B1664">
        <w:rPr>
          <w:rFonts w:ascii="Times New Roman" w:hAnsi="Times New Roman"/>
          <w:noProof/>
        </w:rPr>
        <w:t>.</w:t>
      </w:r>
      <w:r w:rsidRPr="007B1664">
        <w:rPr>
          <w:rFonts w:ascii="Times New Roman" w:hAnsi="Times New Roman"/>
          <w:noProof/>
        </w:rPr>
        <w:tab/>
        <w:t>Instruções relativas a posições específicas</w:t>
      </w:r>
      <w:r w:rsidRPr="007B1664">
        <w:rPr>
          <w:noProof/>
        </w:rPr>
        <w:tab/>
        <w:t>37</w:t>
      </w:r>
    </w:p>
    <w:p w14:paraId="40F5E946"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4.3. I 08.01 – NÍVEL DE RISCO DE CONCENTRAÇÃO - FUNDOS DE CLIENTES DETIDOS (I 8.1)</w:t>
      </w:r>
      <w:r w:rsidRPr="007B1664">
        <w:rPr>
          <w:noProof/>
        </w:rPr>
        <w:tab/>
        <w:t>38</w:t>
      </w:r>
    </w:p>
    <w:p w14:paraId="3502FDC5"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4.3.1.</w:t>
      </w:r>
      <w:r w:rsidRPr="007B1664">
        <w:rPr>
          <w:rFonts w:ascii="Times New Roman" w:hAnsi="Times New Roman"/>
          <w:noProof/>
        </w:rPr>
        <w:tab/>
        <w:t>Instruções relativas a colunas específicas</w:t>
      </w:r>
      <w:r w:rsidRPr="007B1664">
        <w:rPr>
          <w:noProof/>
        </w:rPr>
        <w:tab/>
        <w:t>38</w:t>
      </w:r>
    </w:p>
    <w:p w14:paraId="4ECE3227"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4.4. I 08.02 – NÍVEL DE RISCO DE CONCENTRAÇÃO - ATIVOS OBJETO DE GUA</w:t>
      </w:r>
      <w:r w:rsidRPr="007B1664">
        <w:rPr>
          <w:rFonts w:ascii="Times New Roman" w:hAnsi="Times New Roman"/>
          <w:noProof/>
        </w:rPr>
        <w:t>RDA E ADMINISTRAÇÃO (I 8.2)</w:t>
      </w:r>
      <w:r w:rsidRPr="007B1664">
        <w:rPr>
          <w:noProof/>
        </w:rPr>
        <w:tab/>
        <w:t>39</w:t>
      </w:r>
    </w:p>
    <w:p w14:paraId="5766D5DD"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lastRenderedPageBreak/>
        <w:t>4.4.1.</w:t>
      </w:r>
      <w:r w:rsidRPr="007B1664">
        <w:rPr>
          <w:rFonts w:ascii="Times New Roman" w:hAnsi="Times New Roman"/>
          <w:noProof/>
        </w:rPr>
        <w:tab/>
        <w:t>Instruções relativas a colunas específicas</w:t>
      </w:r>
      <w:r w:rsidRPr="007B1664">
        <w:rPr>
          <w:noProof/>
        </w:rPr>
        <w:tab/>
        <w:t>39</w:t>
      </w:r>
    </w:p>
    <w:p w14:paraId="1F275501"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4.5. I 08.03 – NÍVEL DE RISCO DE CONCENTRAÇÃO - TOTAL DOS DEPÓSITOS PRÓPRIOS EM NUMERÁRIO (I 8.3)</w:t>
      </w:r>
      <w:r w:rsidRPr="007B1664">
        <w:rPr>
          <w:noProof/>
        </w:rPr>
        <w:tab/>
        <w:t>40</w:t>
      </w:r>
    </w:p>
    <w:p w14:paraId="42F4D969"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4.5.1.</w:t>
      </w:r>
      <w:r w:rsidRPr="007B1664">
        <w:rPr>
          <w:rFonts w:ascii="Times New Roman" w:hAnsi="Times New Roman"/>
          <w:noProof/>
        </w:rPr>
        <w:tab/>
        <w:t>Instruções relativas a colunas específicas</w:t>
      </w:r>
      <w:r w:rsidRPr="007B1664">
        <w:rPr>
          <w:noProof/>
        </w:rPr>
        <w:tab/>
        <w:t>40</w:t>
      </w:r>
    </w:p>
    <w:p w14:paraId="46456703"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4.6. I 08.04 – NÍV</w:t>
      </w:r>
      <w:r w:rsidRPr="007B1664">
        <w:rPr>
          <w:rFonts w:ascii="Times New Roman" w:hAnsi="Times New Roman"/>
          <w:noProof/>
        </w:rPr>
        <w:t>EL DE RISCO DE CONCENTRAÇÃO - RECEITAS TOTAIS (I 8.4)</w:t>
      </w:r>
      <w:r w:rsidRPr="007B1664">
        <w:rPr>
          <w:noProof/>
        </w:rPr>
        <w:tab/>
        <w:t>41</w:t>
      </w:r>
    </w:p>
    <w:p w14:paraId="6F8DBE12"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4.6.1.</w:t>
      </w:r>
      <w:r w:rsidRPr="007B1664">
        <w:rPr>
          <w:rFonts w:ascii="Times New Roman" w:hAnsi="Times New Roman"/>
          <w:noProof/>
        </w:rPr>
        <w:tab/>
        <w:t>Instruções relativas a colunas específicas</w:t>
      </w:r>
      <w:r w:rsidRPr="007B1664">
        <w:rPr>
          <w:noProof/>
        </w:rPr>
        <w:tab/>
        <w:t>41</w:t>
      </w:r>
    </w:p>
    <w:p w14:paraId="2BC1AC88"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4.7. I 08.05 — EXPOSIÇÕES DA CARTEIRA DE NEGOCIAÇÃO (I 8.5)</w:t>
      </w:r>
      <w:r w:rsidRPr="007B1664">
        <w:rPr>
          <w:noProof/>
        </w:rPr>
        <w:tab/>
        <w:t>42</w:t>
      </w:r>
    </w:p>
    <w:p w14:paraId="400497C7"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4.7.1.</w:t>
      </w:r>
      <w:r w:rsidRPr="007B1664">
        <w:rPr>
          <w:rFonts w:ascii="Times New Roman" w:hAnsi="Times New Roman"/>
          <w:noProof/>
        </w:rPr>
        <w:tab/>
        <w:t>Instruções relativas a colunas específicas</w:t>
      </w:r>
      <w:r w:rsidRPr="007B1664">
        <w:rPr>
          <w:noProof/>
        </w:rPr>
        <w:tab/>
        <w:t>42</w:t>
      </w:r>
    </w:p>
    <w:p w14:paraId="0B3F73E1"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 xml:space="preserve">4.8. I 08.06 – </w:t>
      </w:r>
      <w:r w:rsidRPr="007B1664">
        <w:rPr>
          <w:rFonts w:ascii="Times New Roman" w:hAnsi="Times New Roman"/>
          <w:noProof/>
        </w:rPr>
        <w:t>ELEMENTOS EXTRA CARTEIRA DE NEGOCIAÇÃO E ELEMENTOS EXTRAPATRIMONIAIS (I 8.6)</w:t>
      </w:r>
      <w:r w:rsidRPr="007B1664">
        <w:rPr>
          <w:noProof/>
        </w:rPr>
        <w:tab/>
        <w:t>43</w:t>
      </w:r>
    </w:p>
    <w:p w14:paraId="1C4D3643"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4.8.1.</w:t>
      </w:r>
      <w:r w:rsidRPr="007B1664">
        <w:rPr>
          <w:rFonts w:ascii="Times New Roman" w:hAnsi="Times New Roman"/>
          <w:noProof/>
        </w:rPr>
        <w:tab/>
        <w:t>Instruções relativas a colunas específicas</w:t>
      </w:r>
      <w:r w:rsidRPr="007B1664">
        <w:rPr>
          <w:noProof/>
        </w:rPr>
        <w:tab/>
        <w:t>43</w:t>
      </w:r>
    </w:p>
    <w:p w14:paraId="592772AB"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b/>
          <w:noProof/>
        </w:rPr>
        <w:t>5. REQUISITOS DE LIQUIDEZ</w:t>
      </w:r>
      <w:r w:rsidRPr="007B1664">
        <w:rPr>
          <w:noProof/>
        </w:rPr>
        <w:tab/>
        <w:t>43</w:t>
      </w:r>
    </w:p>
    <w:p w14:paraId="5966EB27" w14:textId="77777777" w:rsidR="000B1B99" w:rsidRPr="007B1664" w:rsidRDefault="007B1664">
      <w:pPr>
        <w:pStyle w:val="TOC2"/>
        <w:tabs>
          <w:tab w:val="right" w:leader="dot" w:pos="9016"/>
        </w:tabs>
        <w:rPr>
          <w:rFonts w:eastAsiaTheme="minorEastAsia"/>
          <w:noProof/>
        </w:rPr>
      </w:pPr>
      <w:r w:rsidRPr="007B1664">
        <w:rPr>
          <w:rFonts w:ascii="Times New Roman" w:hAnsi="Times New Roman"/>
          <w:noProof/>
        </w:rPr>
        <w:t>5.1 I 09.00 – REQUISITOS DE LIQUIDEZ (I 9)</w:t>
      </w:r>
      <w:r w:rsidRPr="007B1664">
        <w:rPr>
          <w:noProof/>
        </w:rPr>
        <w:tab/>
        <w:t>43</w:t>
      </w:r>
    </w:p>
    <w:p w14:paraId="5C58199F" w14:textId="77777777" w:rsidR="000B1B99" w:rsidRPr="007B1664" w:rsidRDefault="007B1664">
      <w:pPr>
        <w:pStyle w:val="TOC2"/>
        <w:tabs>
          <w:tab w:val="left" w:pos="1100"/>
          <w:tab w:val="right" w:leader="dot" w:pos="9016"/>
        </w:tabs>
        <w:rPr>
          <w:rFonts w:eastAsiaTheme="minorEastAsia"/>
          <w:noProof/>
        </w:rPr>
      </w:pPr>
      <w:r w:rsidRPr="007B1664">
        <w:rPr>
          <w:rFonts w:ascii="Times New Roman" w:hAnsi="Times New Roman"/>
          <w:noProof/>
        </w:rPr>
        <w:t>5.1.1.</w:t>
      </w:r>
      <w:r w:rsidRPr="007B1664">
        <w:rPr>
          <w:rFonts w:ascii="Times New Roman" w:hAnsi="Times New Roman"/>
          <w:noProof/>
        </w:rPr>
        <w:tab/>
        <w:t>Instruções relativas a posições específic</w:t>
      </w:r>
      <w:r w:rsidRPr="007B1664">
        <w:rPr>
          <w:rFonts w:ascii="Times New Roman" w:hAnsi="Times New Roman"/>
          <w:noProof/>
        </w:rPr>
        <w:t>as</w:t>
      </w:r>
      <w:r w:rsidRPr="007B1664">
        <w:rPr>
          <w:noProof/>
        </w:rPr>
        <w:tab/>
        <w:t>43</w:t>
      </w:r>
      <w:bookmarkStart w:id="6" w:name="_Toc360188322"/>
      <w:bookmarkStart w:id="7" w:name="_Toc473560870"/>
      <w:bookmarkStart w:id="8" w:name="_Toc7084155"/>
    </w:p>
    <w:p w14:paraId="3ADBDC87" w14:textId="77777777" w:rsidR="000B1B99" w:rsidRPr="007B1664" w:rsidRDefault="000B1B99"/>
    <w:p w14:paraId="1FA7F2DF" w14:textId="77777777" w:rsidR="000B1B99" w:rsidRPr="007B1664" w:rsidRDefault="000B1B99"/>
    <w:p w14:paraId="091D27F6" w14:textId="77777777" w:rsidR="000B1B99" w:rsidRPr="007B1664" w:rsidRDefault="000B1B99"/>
    <w:p w14:paraId="3E92BEC4" w14:textId="77777777" w:rsidR="000B1B99" w:rsidRPr="007B1664" w:rsidRDefault="007B1664">
      <w:pPr>
        <w:pStyle w:val="Heading2"/>
        <w:rPr>
          <w:rFonts w:ascii="Times New Roman" w:hAnsi="Times New Roman"/>
        </w:rPr>
      </w:pPr>
      <w:bookmarkStart w:id="9" w:name="_Toc35795004"/>
      <w:bookmarkStart w:id="10" w:name="_Toc88247653"/>
      <w:r w:rsidRPr="007B1664">
        <w:rPr>
          <w:rFonts w:ascii="Times New Roman" w:hAnsi="Times New Roman"/>
        </w:rPr>
        <w:t>PARTE I: INSTRUÇÕES GERAIS</w:t>
      </w:r>
      <w:bookmarkEnd w:id="9"/>
      <w:bookmarkEnd w:id="10"/>
    </w:p>
    <w:p w14:paraId="1EAD3A19" w14:textId="77777777" w:rsidR="000B1B99" w:rsidRPr="007B1664" w:rsidRDefault="007B1664">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47654"/>
      <w:r w:rsidRPr="007B1664">
        <w:rPr>
          <w:rFonts w:ascii="Times New Roman" w:hAnsi="Times New Roman"/>
          <w:sz w:val="24"/>
          <w:szCs w:val="24"/>
        </w:rPr>
        <w:t>1. Estrutura e convenções</w:t>
      </w:r>
      <w:bookmarkEnd w:id="11"/>
      <w:bookmarkEnd w:id="12"/>
    </w:p>
    <w:p w14:paraId="769AA333" w14:textId="77777777" w:rsidR="000B1B99" w:rsidRPr="007B1664" w:rsidRDefault="007B1664">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47655"/>
      <w:r w:rsidRPr="007B1664">
        <w:rPr>
          <w:rFonts w:ascii="Times New Roman" w:hAnsi="Times New Roman"/>
          <w:sz w:val="24"/>
          <w:szCs w:val="24"/>
          <w:u w:val="single"/>
        </w:rPr>
        <w:t>1.1. Estrutura</w:t>
      </w:r>
      <w:bookmarkEnd w:id="13"/>
      <w:bookmarkEnd w:id="14"/>
    </w:p>
    <w:p w14:paraId="2573DEBB" w14:textId="77777777" w:rsidR="000B1B99" w:rsidRPr="007B1664" w:rsidRDefault="007B1664">
      <w:pPr>
        <w:spacing w:line="256" w:lineRule="auto"/>
        <w:ind w:left="284" w:hanging="284"/>
        <w:jc w:val="both"/>
        <w:rPr>
          <w:rFonts w:ascii="Times New Roman" w:hAnsi="Times New Roman" w:cs="Times New Roman"/>
        </w:rPr>
      </w:pPr>
      <w:r w:rsidRPr="007B1664">
        <w:rPr>
          <w:rFonts w:ascii="Times New Roman" w:hAnsi="Times New Roman" w:cs="Times New Roman"/>
        </w:rPr>
        <w:t>1.</w:t>
      </w:r>
      <w:r w:rsidRPr="007B1664">
        <w:rPr>
          <w:rFonts w:ascii="Times New Roman" w:hAnsi="Times New Roman" w:cs="Times New Roman"/>
        </w:rPr>
        <w:tab/>
      </w:r>
      <w:r w:rsidRPr="007B1664">
        <w:rPr>
          <w:rFonts w:ascii="Times New Roman" w:hAnsi="Times New Roman"/>
        </w:rPr>
        <w:t>Em termos gerais, o quadro é composto pelos seguintes blocos de informação:</w:t>
      </w:r>
    </w:p>
    <w:p w14:paraId="69346181" w14:textId="77777777" w:rsidR="000B1B99" w:rsidRPr="007B1664" w:rsidRDefault="007B1664">
      <w:pPr>
        <w:spacing w:line="256" w:lineRule="auto"/>
        <w:ind w:left="1728" w:hanging="648"/>
        <w:jc w:val="both"/>
        <w:rPr>
          <w:rFonts w:ascii="Times New Roman" w:hAnsi="Times New Roman" w:cs="Times New Roman"/>
        </w:rPr>
      </w:pPr>
      <w:r w:rsidRPr="007B1664">
        <w:rPr>
          <w:rFonts w:ascii="Times New Roman" w:hAnsi="Times New Roman" w:cs="Times New Roman"/>
        </w:rPr>
        <w:t>a)</w:t>
      </w:r>
      <w:r w:rsidRPr="007B1664">
        <w:rPr>
          <w:rFonts w:ascii="Times New Roman" w:hAnsi="Times New Roman" w:cs="Times New Roman"/>
        </w:rPr>
        <w:tab/>
      </w:r>
      <w:r w:rsidRPr="007B1664">
        <w:rPr>
          <w:rFonts w:ascii="Times New Roman" w:hAnsi="Times New Roman"/>
        </w:rPr>
        <w:t>Fundos próprios;</w:t>
      </w:r>
    </w:p>
    <w:p w14:paraId="198D8D33" w14:textId="77777777" w:rsidR="000B1B99" w:rsidRPr="007B1664" w:rsidRDefault="007B1664">
      <w:pPr>
        <w:spacing w:line="256" w:lineRule="auto"/>
        <w:ind w:left="1728" w:hanging="648"/>
        <w:jc w:val="both"/>
        <w:rPr>
          <w:rFonts w:ascii="Times New Roman" w:hAnsi="Times New Roman" w:cs="Times New Roman"/>
        </w:rPr>
      </w:pPr>
      <w:r w:rsidRPr="007B1664">
        <w:rPr>
          <w:rFonts w:ascii="Times New Roman" w:hAnsi="Times New Roman" w:cs="Times New Roman"/>
        </w:rPr>
        <w:t>b)</w:t>
      </w:r>
      <w:r w:rsidRPr="007B1664">
        <w:rPr>
          <w:rFonts w:ascii="Times New Roman" w:hAnsi="Times New Roman" w:cs="Times New Roman"/>
        </w:rPr>
        <w:tab/>
      </w:r>
      <w:r w:rsidRPr="007B1664">
        <w:rPr>
          <w:rFonts w:ascii="Times New Roman" w:hAnsi="Times New Roman"/>
        </w:rPr>
        <w:t>Cálculos relativos aos requisitos de fundos próprios;</w:t>
      </w:r>
    </w:p>
    <w:p w14:paraId="666E9040" w14:textId="77777777" w:rsidR="000B1B99" w:rsidRPr="007B1664" w:rsidRDefault="007B1664">
      <w:pPr>
        <w:spacing w:line="256" w:lineRule="auto"/>
        <w:ind w:left="1728" w:hanging="648"/>
        <w:jc w:val="both"/>
        <w:rPr>
          <w:rFonts w:ascii="Times New Roman" w:hAnsi="Times New Roman" w:cs="Times New Roman"/>
        </w:rPr>
      </w:pPr>
      <w:r w:rsidRPr="007B1664">
        <w:rPr>
          <w:rFonts w:ascii="Times New Roman" w:hAnsi="Times New Roman" w:cs="Times New Roman"/>
        </w:rPr>
        <w:t>c)</w:t>
      </w:r>
      <w:r w:rsidRPr="007B1664">
        <w:rPr>
          <w:rFonts w:ascii="Times New Roman" w:hAnsi="Times New Roman" w:cs="Times New Roman"/>
        </w:rPr>
        <w:tab/>
      </w:r>
      <w:r w:rsidRPr="007B1664">
        <w:rPr>
          <w:rFonts w:ascii="Times New Roman" w:hAnsi="Times New Roman"/>
        </w:rPr>
        <w:t>Cálculo dos requisit</w:t>
      </w:r>
      <w:r w:rsidRPr="007B1664">
        <w:rPr>
          <w:rFonts w:ascii="Times New Roman" w:hAnsi="Times New Roman"/>
        </w:rPr>
        <w:t>os baseados nas despesas gerais fixas;</w:t>
      </w:r>
    </w:p>
    <w:p w14:paraId="3AA0E654" w14:textId="77777777" w:rsidR="000B1B99" w:rsidRPr="007B1664" w:rsidRDefault="007B1664">
      <w:pPr>
        <w:spacing w:line="256" w:lineRule="auto"/>
        <w:ind w:left="1728" w:hanging="648"/>
        <w:jc w:val="both"/>
        <w:rPr>
          <w:rFonts w:ascii="Times New Roman" w:hAnsi="Times New Roman" w:cs="Times New Roman"/>
        </w:rPr>
      </w:pPr>
      <w:r w:rsidRPr="007B1664">
        <w:rPr>
          <w:rFonts w:ascii="Times New Roman" w:hAnsi="Times New Roman" w:cs="Times New Roman"/>
        </w:rPr>
        <w:t>d)</w:t>
      </w:r>
      <w:r w:rsidRPr="007B1664">
        <w:rPr>
          <w:rFonts w:ascii="Times New Roman" w:hAnsi="Times New Roman" w:cs="Times New Roman"/>
        </w:rPr>
        <w:tab/>
      </w:r>
      <w:r w:rsidRPr="007B1664">
        <w:rPr>
          <w:rFonts w:ascii="Times New Roman" w:hAnsi="Times New Roman"/>
        </w:rPr>
        <w:t>Nível de atividade no respeitante às condições estabelecidas no artigo 12.</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do Regulamento (UE) 2019/2033;</w:t>
      </w:r>
    </w:p>
    <w:p w14:paraId="49B100C1" w14:textId="77777777" w:rsidR="000B1B99" w:rsidRPr="007B1664" w:rsidRDefault="007B1664">
      <w:pPr>
        <w:spacing w:line="256" w:lineRule="auto"/>
        <w:ind w:left="1728" w:hanging="648"/>
        <w:jc w:val="both"/>
        <w:rPr>
          <w:rFonts w:ascii="Times New Roman" w:hAnsi="Times New Roman" w:cs="Times New Roman"/>
        </w:rPr>
      </w:pPr>
      <w:r w:rsidRPr="007B1664">
        <w:rPr>
          <w:rFonts w:ascii="Times New Roman" w:hAnsi="Times New Roman" w:cs="Times New Roman"/>
        </w:rPr>
        <w:t>e)</w:t>
      </w:r>
      <w:r w:rsidRPr="007B1664">
        <w:rPr>
          <w:rFonts w:ascii="Times New Roman" w:hAnsi="Times New Roman" w:cs="Times New Roman"/>
        </w:rPr>
        <w:tab/>
      </w:r>
      <w:r w:rsidRPr="007B1664">
        <w:rPr>
          <w:rFonts w:ascii="Times New Roman" w:hAnsi="Times New Roman"/>
        </w:rPr>
        <w:t>Cálculos dos requisitos baseados nos fatores K;</w:t>
      </w:r>
    </w:p>
    <w:p w14:paraId="2676B698" w14:textId="77777777" w:rsidR="000B1B99" w:rsidRPr="007B1664" w:rsidRDefault="007B1664">
      <w:pPr>
        <w:spacing w:line="256" w:lineRule="auto"/>
        <w:ind w:left="1728" w:hanging="648"/>
        <w:jc w:val="both"/>
        <w:rPr>
          <w:rFonts w:ascii="Times New Roman" w:hAnsi="Times New Roman" w:cs="Times New Roman"/>
        </w:rPr>
      </w:pPr>
      <w:r w:rsidRPr="007B1664">
        <w:rPr>
          <w:rFonts w:ascii="Times New Roman" w:hAnsi="Times New Roman" w:cs="Times New Roman"/>
        </w:rPr>
        <w:t>f)</w:t>
      </w:r>
      <w:r w:rsidRPr="007B1664">
        <w:rPr>
          <w:rFonts w:ascii="Times New Roman" w:hAnsi="Times New Roman" w:cs="Times New Roman"/>
        </w:rPr>
        <w:tab/>
      </w:r>
      <w:r w:rsidRPr="007B1664">
        <w:rPr>
          <w:rFonts w:ascii="Times New Roman" w:hAnsi="Times New Roman"/>
        </w:rPr>
        <w:t xml:space="preserve">Requisitos baseados no risco de </w:t>
      </w:r>
      <w:r w:rsidRPr="007B1664">
        <w:rPr>
          <w:rFonts w:ascii="Times New Roman" w:hAnsi="Times New Roman"/>
        </w:rPr>
        <w:t>concentração;</w:t>
      </w:r>
    </w:p>
    <w:p w14:paraId="3347ADD3" w14:textId="77777777" w:rsidR="000B1B99" w:rsidRPr="007B1664" w:rsidRDefault="007B1664">
      <w:pPr>
        <w:spacing w:line="256" w:lineRule="auto"/>
        <w:ind w:left="1728" w:hanging="648"/>
        <w:jc w:val="both"/>
        <w:rPr>
          <w:rFonts w:ascii="Times New Roman" w:hAnsi="Times New Roman" w:cs="Times New Roman"/>
        </w:rPr>
      </w:pPr>
      <w:r w:rsidRPr="007B1664">
        <w:rPr>
          <w:rFonts w:ascii="Times New Roman" w:hAnsi="Times New Roman" w:cs="Times New Roman"/>
        </w:rPr>
        <w:t>g)</w:t>
      </w:r>
      <w:r w:rsidRPr="007B1664">
        <w:rPr>
          <w:rFonts w:ascii="Times New Roman" w:hAnsi="Times New Roman" w:cs="Times New Roman"/>
        </w:rPr>
        <w:tab/>
      </w:r>
      <w:r w:rsidRPr="007B1664">
        <w:rPr>
          <w:rFonts w:ascii="Times New Roman" w:hAnsi="Times New Roman"/>
        </w:rPr>
        <w:t>Requisitos de liquidez.</w:t>
      </w:r>
    </w:p>
    <w:p w14:paraId="5FE451DD" w14:textId="77777777" w:rsidR="000B1B99" w:rsidRPr="007B1664" w:rsidRDefault="007B1664">
      <w:pPr>
        <w:pStyle w:val="InstructionsText2"/>
        <w:numPr>
          <w:ilvl w:val="0"/>
          <w:numId w:val="0"/>
        </w:numPr>
        <w:ind w:left="360" w:hanging="360"/>
      </w:pPr>
      <w:r w:rsidRPr="007B1664">
        <w:t>2.</w:t>
      </w:r>
      <w:r w:rsidRPr="007B1664">
        <w:tab/>
        <w:t>São fornecidas as referências jurídicas para cada modelo. Esta parte do presente regulamento contém informações mais pormenorizadas sobre aspetos mais gerais da comunicação de cada bloco dos modelos, instruções s</w:t>
      </w:r>
      <w:r w:rsidRPr="007B1664">
        <w:t>obre posições específicas e regras de validação.</w:t>
      </w:r>
    </w:p>
    <w:p w14:paraId="55257FCC" w14:textId="77777777" w:rsidR="000B1B99" w:rsidRPr="007B1664" w:rsidRDefault="007B1664">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47656"/>
      <w:r w:rsidRPr="007B1664">
        <w:rPr>
          <w:rFonts w:ascii="Times New Roman" w:hAnsi="Times New Roman"/>
          <w:sz w:val="24"/>
          <w:szCs w:val="24"/>
          <w:u w:val="single"/>
        </w:rPr>
        <w:lastRenderedPageBreak/>
        <w:t>1.2. Convenções relativas à numeração</w:t>
      </w:r>
      <w:bookmarkEnd w:id="15"/>
      <w:bookmarkEnd w:id="16"/>
    </w:p>
    <w:p w14:paraId="1AA4A042" w14:textId="77777777" w:rsidR="000B1B99" w:rsidRPr="007B1664" w:rsidRDefault="007B1664">
      <w:pPr>
        <w:pStyle w:val="InstructionsText2"/>
        <w:numPr>
          <w:ilvl w:val="0"/>
          <w:numId w:val="0"/>
        </w:numPr>
        <w:ind w:left="360" w:hanging="360"/>
      </w:pPr>
      <w:r w:rsidRPr="007B1664">
        <w:t>3.</w:t>
      </w:r>
      <w:r w:rsidRPr="007B1664">
        <w:tab/>
        <w:t xml:space="preserve">O documento segue a convenção de designação constante dos pontos 4 a 7, quando se refere às colunas, às linhas e às células dos modelos. Esses códigos </w:t>
      </w:r>
      <w:r w:rsidRPr="007B1664">
        <w:t>numéricos são extensivamente utilizados nas regras de validação.</w:t>
      </w:r>
    </w:p>
    <w:p w14:paraId="38A4D413" w14:textId="77777777" w:rsidR="000B1B99" w:rsidRPr="007B1664" w:rsidRDefault="007B1664">
      <w:pPr>
        <w:pStyle w:val="InstructionsText2"/>
        <w:numPr>
          <w:ilvl w:val="0"/>
          <w:numId w:val="0"/>
        </w:numPr>
        <w:ind w:left="360" w:hanging="360"/>
      </w:pPr>
      <w:r w:rsidRPr="007B1664">
        <w:t>4.</w:t>
      </w:r>
      <w:r w:rsidRPr="007B1664">
        <w:tab/>
        <w:t>Nas instruções é seguida a seguinte notação geral: {Modelo; Linha; Coluna}.</w:t>
      </w:r>
    </w:p>
    <w:p w14:paraId="2668BD69" w14:textId="77777777" w:rsidR="000B1B99" w:rsidRPr="007B1664" w:rsidRDefault="007B1664">
      <w:pPr>
        <w:pStyle w:val="InstructionsText2"/>
        <w:numPr>
          <w:ilvl w:val="0"/>
          <w:numId w:val="0"/>
        </w:numPr>
        <w:ind w:left="360" w:hanging="360"/>
      </w:pPr>
      <w:r w:rsidRPr="007B1664">
        <w:t>5.</w:t>
      </w:r>
      <w:r w:rsidRPr="007B1664">
        <w:tab/>
        <w:t>No caso das validações no quadro de um modelo, nas quais são utilizados apenas os dados desse modelo, as nota</w:t>
      </w:r>
      <w:r w:rsidRPr="007B1664">
        <w:t>ções não se referem a um modelo: {Linha; Coluna}.</w:t>
      </w:r>
    </w:p>
    <w:p w14:paraId="1B373D30" w14:textId="77777777" w:rsidR="000B1B99" w:rsidRPr="007B1664" w:rsidRDefault="007B1664">
      <w:pPr>
        <w:pStyle w:val="InstructionsText2"/>
        <w:numPr>
          <w:ilvl w:val="0"/>
          <w:numId w:val="0"/>
        </w:numPr>
        <w:ind w:left="360" w:hanging="360"/>
      </w:pPr>
      <w:r w:rsidRPr="007B1664">
        <w:t>6.</w:t>
      </w:r>
      <w:r w:rsidRPr="007B1664">
        <w:tab/>
        <w:t>No caso dos modelos com uma única coluna, apenas são referidas as linhas. {Modelo; Linha}</w:t>
      </w:r>
    </w:p>
    <w:p w14:paraId="31331E53" w14:textId="77777777" w:rsidR="000B1B99" w:rsidRPr="007B1664" w:rsidRDefault="007B1664">
      <w:pPr>
        <w:pStyle w:val="InstructionsText2"/>
        <w:numPr>
          <w:ilvl w:val="0"/>
          <w:numId w:val="0"/>
        </w:numPr>
        <w:ind w:left="360" w:hanging="360"/>
      </w:pPr>
      <w:r w:rsidRPr="007B1664">
        <w:t>7.</w:t>
      </w:r>
      <w:r w:rsidRPr="007B1664">
        <w:tab/>
        <w:t>Um sinal de asterisco indica que a validação é realizada relativamente às linhas ou colunas especificadas ante</w:t>
      </w:r>
      <w:r w:rsidRPr="007B1664">
        <w:t>riormente.</w:t>
      </w:r>
    </w:p>
    <w:p w14:paraId="111F1F5C" w14:textId="77777777" w:rsidR="000B1B99" w:rsidRPr="007B1664" w:rsidRDefault="007B1664">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47657"/>
      <w:r w:rsidRPr="007B1664">
        <w:rPr>
          <w:rFonts w:ascii="Times New Roman" w:hAnsi="Times New Roman"/>
          <w:sz w:val="24"/>
          <w:szCs w:val="24"/>
          <w:u w:val="single"/>
        </w:rPr>
        <w:t>1.3. Sinais convencionados</w:t>
      </w:r>
      <w:bookmarkEnd w:id="17"/>
      <w:bookmarkEnd w:id="18"/>
    </w:p>
    <w:p w14:paraId="7202D1A7" w14:textId="77777777" w:rsidR="000B1B99" w:rsidRPr="007B1664" w:rsidRDefault="007B1664">
      <w:pPr>
        <w:pStyle w:val="InstructionsText2"/>
        <w:numPr>
          <w:ilvl w:val="0"/>
          <w:numId w:val="0"/>
        </w:numPr>
        <w:ind w:left="360" w:hanging="360"/>
      </w:pPr>
      <w:r w:rsidRPr="007B1664">
        <w:t>8.</w:t>
      </w:r>
      <w:r w:rsidRPr="007B1664">
        <w:tab/>
        <w:t>Qualquer montante que aumente os fundos próprios ou os requisitos de fundos próprios, ou os requisitos de liquidez, deve ser comunicado como um valor positivo. Pelo contrário, qualquer montante que diminua os fundos</w:t>
      </w:r>
      <w:r w:rsidRPr="007B1664">
        <w:t xml:space="preserve"> próprios totais ou os requisitos totais de fundos próprios deve ser comunicado como um valor negativo. Se a designação de um elemento for precedida de um sinal negativo (-), não se prevê a comunicação de qualquer valor positivo para esse elemento.</w:t>
      </w:r>
    </w:p>
    <w:p w14:paraId="7131ED93" w14:textId="77777777" w:rsidR="000B1B99" w:rsidRPr="007B1664" w:rsidRDefault="007B1664">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247658"/>
      <w:r w:rsidRPr="007B1664">
        <w:rPr>
          <w:rFonts w:ascii="Times New Roman" w:hAnsi="Times New Roman"/>
          <w:sz w:val="24"/>
          <w:szCs w:val="24"/>
          <w:u w:val="single"/>
        </w:rPr>
        <w:t>1.4. Co</w:t>
      </w:r>
      <w:r w:rsidRPr="007B1664">
        <w:rPr>
          <w:rFonts w:ascii="Times New Roman" w:hAnsi="Times New Roman"/>
          <w:sz w:val="24"/>
          <w:szCs w:val="24"/>
          <w:u w:val="single"/>
        </w:rPr>
        <w:t>nsolidação prudencial</w:t>
      </w:r>
      <w:bookmarkEnd w:id="19"/>
      <w:bookmarkEnd w:id="20"/>
    </w:p>
    <w:p w14:paraId="23740EA0" w14:textId="77777777" w:rsidR="000B1B99" w:rsidRPr="007B1664" w:rsidRDefault="007B1664">
      <w:pPr>
        <w:spacing w:line="256" w:lineRule="auto"/>
        <w:ind w:left="360" w:hanging="360"/>
        <w:jc w:val="both"/>
        <w:rPr>
          <w:rFonts w:ascii="Times New Roman" w:hAnsi="Times New Roman" w:cs="Times New Roman"/>
          <w:sz w:val="24"/>
        </w:rPr>
      </w:pPr>
      <w:r w:rsidRPr="007B1664">
        <w:rPr>
          <w:rFonts w:ascii="Times New Roman" w:hAnsi="Times New Roman" w:cs="Times New Roman"/>
          <w:sz w:val="24"/>
        </w:rPr>
        <w:t>9.</w:t>
      </w:r>
      <w:r w:rsidRPr="007B1664">
        <w:rPr>
          <w:rFonts w:ascii="Times New Roman" w:hAnsi="Times New Roman" w:cs="Times New Roman"/>
          <w:sz w:val="24"/>
        </w:rPr>
        <w:tab/>
      </w:r>
      <w:r w:rsidRPr="007B1664">
        <w:rPr>
          <w:rFonts w:ascii="Times New Roman" w:hAnsi="Times New Roman"/>
          <w:sz w:val="24"/>
        </w:rPr>
        <w:t>A menos que tenha sido concedida uma isenção, o Regulamento (UE) 2019/2033 e a Diretiva (UE) 2019/2034 aplicam-se às empresas de investimento em base individual e em base consolidada, o que inclui os requisitos de comunicação de in</w:t>
      </w:r>
      <w:r w:rsidRPr="007B1664">
        <w:rPr>
          <w:rFonts w:ascii="Times New Roman" w:hAnsi="Times New Roman"/>
          <w:sz w:val="24"/>
        </w:rPr>
        <w:t>formações previstos na parte VII do Regulamento (UE) 2019/2033. O artigo 4.</w:t>
      </w:r>
      <w:r w:rsidRPr="007B1664">
        <w:rPr>
          <w:rFonts w:ascii="Times New Roman" w:hAnsi="Times New Roman"/>
          <w:sz w:val="24"/>
          <w:vertAlign w:val="superscript"/>
        </w:rPr>
        <w:t>o</w:t>
      </w:r>
      <w:r w:rsidRPr="007B1664">
        <w:rPr>
          <w:rFonts w:ascii="Times New Roman" w:hAnsi="Times New Roman"/>
          <w:sz w:val="24"/>
        </w:rPr>
        <w:t>, n.</w:t>
      </w:r>
      <w:r w:rsidRPr="007B1664">
        <w:rPr>
          <w:rFonts w:ascii="Times New Roman" w:hAnsi="Times New Roman"/>
          <w:sz w:val="24"/>
          <w:vertAlign w:val="superscript"/>
        </w:rPr>
        <w:t>o</w:t>
      </w:r>
      <w:r w:rsidRPr="007B1664">
        <w:rPr>
          <w:rFonts w:ascii="Times New Roman" w:hAnsi="Times New Roman"/>
          <w:sz w:val="24"/>
        </w:rPr>
        <w:t> 1, ponto 11, do Regulamento (UE) 2019/2033 define uma situação consolidada como o resultado da aplicação dos requisitos do Regulamento (UE) 2019/2033 a um grupo de empresas d</w:t>
      </w:r>
      <w:r w:rsidRPr="007B1664">
        <w:rPr>
          <w:rFonts w:ascii="Times New Roman" w:hAnsi="Times New Roman"/>
          <w:sz w:val="24"/>
        </w:rPr>
        <w:t>e investimento como se as entidades do grupo formassem em conjunto uma única empresa de investimento. Na sequência da aplicação do artigo 7.</w:t>
      </w:r>
      <w:r w:rsidRPr="007B1664">
        <w:rPr>
          <w:rFonts w:ascii="Times New Roman" w:hAnsi="Times New Roman"/>
          <w:sz w:val="24"/>
          <w:vertAlign w:val="superscript"/>
        </w:rPr>
        <w:t>o</w:t>
      </w:r>
      <w:r w:rsidRPr="007B1664">
        <w:rPr>
          <w:rFonts w:ascii="Times New Roman" w:hAnsi="Times New Roman"/>
          <w:sz w:val="24"/>
        </w:rPr>
        <w:t xml:space="preserve"> do Regulamento (UE) 2019/2033, os grupos de empresas de investimento devem cumprir os requisitos de comunicação de</w:t>
      </w:r>
      <w:r w:rsidRPr="007B1664">
        <w:rPr>
          <w:rFonts w:ascii="Times New Roman" w:hAnsi="Times New Roman"/>
          <w:sz w:val="24"/>
        </w:rPr>
        <w:t xml:space="preserve"> informações em todos os modelos com base no seu perímetro de consolidação prudencial (que pode ser diferente do seu perímetro de consolidação contabilística).</w:t>
      </w:r>
    </w:p>
    <w:p w14:paraId="3661CB18" w14:textId="77777777" w:rsidR="000B1B99" w:rsidRPr="007B1664" w:rsidRDefault="007B1664">
      <w:pPr>
        <w:pStyle w:val="Heading2"/>
        <w:rPr>
          <w:rFonts w:ascii="Times New Roman" w:hAnsi="Times New Roman"/>
        </w:rPr>
      </w:pPr>
      <w:bookmarkStart w:id="21" w:name="_Toc88247659"/>
      <w:r w:rsidRPr="007B1664">
        <w:rPr>
          <w:rFonts w:ascii="Times New Roman" w:hAnsi="Times New Roman"/>
        </w:rPr>
        <w:t>PARTE II: INSTRUÇÕES RESPEITANTES AOS MODELOS</w:t>
      </w:r>
      <w:bookmarkEnd w:id="6"/>
      <w:bookmarkEnd w:id="7"/>
      <w:bookmarkEnd w:id="8"/>
      <w:bookmarkEnd w:id="21"/>
    </w:p>
    <w:p w14:paraId="60B92FAF" w14:textId="77777777" w:rsidR="000B1B99" w:rsidRPr="007B1664" w:rsidRDefault="007B1664">
      <w:pPr>
        <w:pStyle w:val="Instructionsberschrift2"/>
        <w:ind w:left="357" w:hanging="357"/>
        <w:rPr>
          <w:rFonts w:ascii="Times New Roman" w:hAnsi="Times New Roman" w:cs="Times New Roman"/>
          <w:b/>
          <w:sz w:val="24"/>
        </w:rPr>
      </w:pPr>
      <w:bookmarkStart w:id="22" w:name="_Toc35795012"/>
      <w:bookmarkStart w:id="23" w:name="_Toc88247660"/>
      <w:r w:rsidRPr="007B1664">
        <w:rPr>
          <w:rFonts w:ascii="Times New Roman" w:hAnsi="Times New Roman"/>
          <w:b/>
          <w:sz w:val="24"/>
          <w:u w:val="none"/>
        </w:rPr>
        <w:t xml:space="preserve">1. FUNDOS PRÓPRIOS: NÍVEL, COMPOSIÇÃO, REQUISITOS </w:t>
      </w:r>
      <w:r w:rsidRPr="007B1664">
        <w:rPr>
          <w:rFonts w:ascii="Times New Roman" w:hAnsi="Times New Roman"/>
          <w:b/>
          <w:sz w:val="24"/>
          <w:u w:val="none"/>
        </w:rPr>
        <w:t>E CÁLCULO</w:t>
      </w:r>
      <w:bookmarkEnd w:id="22"/>
      <w:bookmarkEnd w:id="23"/>
    </w:p>
    <w:p w14:paraId="3B672FDB" w14:textId="77777777" w:rsidR="000B1B99" w:rsidRPr="007B1664" w:rsidRDefault="007B1664">
      <w:pPr>
        <w:pStyle w:val="Instructionsberschrift2"/>
        <w:ind w:left="357" w:hanging="357"/>
        <w:rPr>
          <w:rFonts w:ascii="Times New Roman" w:hAnsi="Times New Roman" w:cs="Times New Roman"/>
          <w:sz w:val="24"/>
        </w:rPr>
      </w:pPr>
      <w:bookmarkStart w:id="24" w:name="_Toc35795013"/>
      <w:bookmarkStart w:id="25" w:name="_Toc88247661"/>
      <w:r w:rsidRPr="007B1664">
        <w:rPr>
          <w:rFonts w:ascii="Times New Roman" w:hAnsi="Times New Roman"/>
          <w:sz w:val="24"/>
        </w:rPr>
        <w:t>1.1. Observações gerais</w:t>
      </w:r>
      <w:bookmarkEnd w:id="24"/>
      <w:bookmarkEnd w:id="25"/>
    </w:p>
    <w:p w14:paraId="00A3B1E4" w14:textId="77777777" w:rsidR="000B1B99" w:rsidRPr="007B1664" w:rsidRDefault="007B1664">
      <w:pPr>
        <w:spacing w:line="256" w:lineRule="auto"/>
        <w:ind w:left="993" w:hanging="567"/>
        <w:jc w:val="both"/>
        <w:rPr>
          <w:rFonts w:ascii="Times New Roman" w:hAnsi="Times New Roman" w:cs="Times New Roman"/>
          <w:sz w:val="24"/>
        </w:rPr>
      </w:pPr>
      <w:r w:rsidRPr="007B1664">
        <w:rPr>
          <w:rFonts w:ascii="Times New Roman" w:hAnsi="Times New Roman" w:cs="Times New Roman"/>
          <w:sz w:val="24"/>
        </w:rPr>
        <w:t>10.</w:t>
      </w:r>
      <w:r w:rsidRPr="007B1664">
        <w:rPr>
          <w:rFonts w:ascii="Times New Roman" w:hAnsi="Times New Roman" w:cs="Times New Roman"/>
          <w:sz w:val="24"/>
        </w:rPr>
        <w:tab/>
      </w:r>
      <w:r w:rsidRPr="007B1664">
        <w:rPr>
          <w:rFonts w:ascii="Times New Roman" w:hAnsi="Times New Roman"/>
          <w:sz w:val="24"/>
        </w:rPr>
        <w:t>A secção geral dos fundos próprios contém informações sobre os fundos próprios que uma empresa de investimento detém e os seus requisitos de fundos próprios. É constituída por dois modelos:</w:t>
      </w:r>
    </w:p>
    <w:p w14:paraId="22EC1653" w14:textId="77777777" w:rsidR="000B1B99" w:rsidRPr="007B1664" w:rsidRDefault="007B1664">
      <w:pPr>
        <w:spacing w:line="256" w:lineRule="auto"/>
        <w:ind w:left="1728" w:hanging="648"/>
        <w:jc w:val="both"/>
        <w:rPr>
          <w:rFonts w:ascii="Times New Roman" w:hAnsi="Times New Roman" w:cs="Times New Roman"/>
          <w:sz w:val="24"/>
        </w:rPr>
      </w:pPr>
      <w:r w:rsidRPr="007B1664">
        <w:rPr>
          <w:rFonts w:ascii="Times New Roman" w:hAnsi="Times New Roman" w:cs="Times New Roman"/>
          <w:sz w:val="24"/>
        </w:rPr>
        <w:lastRenderedPageBreak/>
        <w:t>a)</w:t>
      </w:r>
      <w:r w:rsidRPr="007B1664">
        <w:rPr>
          <w:rFonts w:ascii="Times New Roman" w:hAnsi="Times New Roman" w:cs="Times New Roman"/>
          <w:sz w:val="24"/>
        </w:rPr>
        <w:tab/>
      </w:r>
      <w:r w:rsidRPr="007B1664">
        <w:rPr>
          <w:rFonts w:ascii="Times New Roman" w:hAnsi="Times New Roman"/>
          <w:sz w:val="24"/>
        </w:rPr>
        <w:t>O modelo I 01.00 contém a</w:t>
      </w:r>
      <w:r w:rsidRPr="007B1664">
        <w:rPr>
          <w:rFonts w:ascii="Times New Roman" w:hAnsi="Times New Roman"/>
          <w:sz w:val="24"/>
        </w:rPr>
        <w:t xml:space="preserve"> composição dos fundos próprios que uma empresa de investimento detém: fundos próprios principais de nível 1 (FPP1), fundos próprios adicionais de nível 1 (FPA1) e fundos próprios de nível 2 (FP2).</w:t>
      </w:r>
    </w:p>
    <w:p w14:paraId="56214538" w14:textId="77777777" w:rsidR="000B1B99" w:rsidRPr="007B1664" w:rsidRDefault="007B1664">
      <w:pPr>
        <w:spacing w:line="256" w:lineRule="auto"/>
        <w:ind w:left="1728" w:hanging="648"/>
        <w:jc w:val="both"/>
        <w:rPr>
          <w:rFonts w:ascii="Times New Roman" w:hAnsi="Times New Roman" w:cs="Times New Roman"/>
          <w:sz w:val="24"/>
        </w:rPr>
      </w:pPr>
      <w:r w:rsidRPr="007B1664">
        <w:rPr>
          <w:rFonts w:ascii="Times New Roman" w:hAnsi="Times New Roman" w:cs="Times New Roman"/>
          <w:sz w:val="24"/>
        </w:rPr>
        <w:t>b)</w:t>
      </w:r>
      <w:r w:rsidRPr="007B1664">
        <w:rPr>
          <w:rFonts w:ascii="Times New Roman" w:hAnsi="Times New Roman" w:cs="Times New Roman"/>
          <w:sz w:val="24"/>
        </w:rPr>
        <w:tab/>
      </w:r>
      <w:r w:rsidRPr="007B1664">
        <w:rPr>
          <w:rFonts w:ascii="Times New Roman" w:hAnsi="Times New Roman"/>
          <w:sz w:val="24"/>
        </w:rPr>
        <w:t>Os modelos I 02.01 e I 02.02 contêm o requisito total d</w:t>
      </w:r>
      <w:r w:rsidRPr="007B1664">
        <w:rPr>
          <w:rFonts w:ascii="Times New Roman" w:hAnsi="Times New Roman"/>
          <w:sz w:val="24"/>
        </w:rPr>
        <w:t>e fundos próprios, o requisito de capital mínimo permanente, o requisito baseado nas despesas gerais fixas e o requisito total dos fatores K, quaisquer requisitos e orientações adicionais em matéria de fundos próprios, bem como o requisito transitório de f</w:t>
      </w:r>
      <w:r w:rsidRPr="007B1664">
        <w:rPr>
          <w:rFonts w:ascii="Times New Roman" w:hAnsi="Times New Roman"/>
          <w:sz w:val="24"/>
        </w:rPr>
        <w:t>undos próprios e os rácios de capital.</w:t>
      </w:r>
    </w:p>
    <w:p w14:paraId="55695D3B" w14:textId="77777777" w:rsidR="000B1B99" w:rsidRPr="007B1664" w:rsidRDefault="007B1664">
      <w:pPr>
        <w:spacing w:line="256" w:lineRule="auto"/>
        <w:ind w:left="1728" w:hanging="648"/>
        <w:jc w:val="both"/>
        <w:rPr>
          <w:rFonts w:ascii="Times New Roman" w:hAnsi="Times New Roman" w:cs="Times New Roman"/>
          <w:sz w:val="24"/>
        </w:rPr>
      </w:pPr>
      <w:r w:rsidRPr="007B1664">
        <w:rPr>
          <w:rFonts w:ascii="Times New Roman" w:hAnsi="Times New Roman" w:cs="Times New Roman"/>
          <w:sz w:val="24"/>
        </w:rPr>
        <w:t>c)</w:t>
      </w:r>
      <w:r w:rsidRPr="007B1664">
        <w:rPr>
          <w:rFonts w:ascii="Times New Roman" w:hAnsi="Times New Roman" w:cs="Times New Roman"/>
          <w:sz w:val="24"/>
        </w:rPr>
        <w:tab/>
      </w:r>
      <w:r w:rsidRPr="007B1664">
        <w:rPr>
          <w:rFonts w:ascii="Times New Roman" w:hAnsi="Times New Roman"/>
          <w:sz w:val="24"/>
        </w:rPr>
        <w:t>O modelo I 03.00 inclui informações sobre o cálculo do requisito baseado nas despesas gerais fixas.</w:t>
      </w:r>
    </w:p>
    <w:p w14:paraId="462A8789" w14:textId="77777777" w:rsidR="000B1B99" w:rsidRPr="007B1664" w:rsidRDefault="007B1664">
      <w:pPr>
        <w:spacing w:line="256" w:lineRule="auto"/>
        <w:ind w:left="1728" w:hanging="648"/>
        <w:jc w:val="both"/>
        <w:rPr>
          <w:rFonts w:ascii="Times New Roman" w:hAnsi="Times New Roman" w:cs="Times New Roman"/>
          <w:sz w:val="24"/>
        </w:rPr>
      </w:pPr>
      <w:r w:rsidRPr="007B1664">
        <w:rPr>
          <w:rFonts w:ascii="Times New Roman" w:hAnsi="Times New Roman" w:cs="Times New Roman"/>
          <w:sz w:val="24"/>
        </w:rPr>
        <w:t>d)</w:t>
      </w:r>
      <w:r w:rsidRPr="007B1664">
        <w:rPr>
          <w:rFonts w:ascii="Times New Roman" w:hAnsi="Times New Roman" w:cs="Times New Roman"/>
          <w:sz w:val="24"/>
        </w:rPr>
        <w:tab/>
      </w:r>
      <w:r w:rsidRPr="007B1664">
        <w:rPr>
          <w:rFonts w:ascii="Times New Roman" w:hAnsi="Times New Roman"/>
          <w:sz w:val="24"/>
        </w:rPr>
        <w:t>O modelo I 04.00 contém os requisitos baseados nos fatores K e o montante dos fatores.</w:t>
      </w:r>
    </w:p>
    <w:p w14:paraId="689E6A35" w14:textId="77777777" w:rsidR="000B1B99" w:rsidRPr="007B1664" w:rsidRDefault="007B1664">
      <w:pPr>
        <w:spacing w:line="256" w:lineRule="auto"/>
        <w:ind w:left="993" w:hanging="567"/>
        <w:jc w:val="both"/>
        <w:rPr>
          <w:rFonts w:ascii="Times New Roman" w:hAnsi="Times New Roman" w:cs="Times New Roman"/>
          <w:sz w:val="24"/>
        </w:rPr>
      </w:pPr>
      <w:r w:rsidRPr="007B1664">
        <w:rPr>
          <w:rFonts w:ascii="Times New Roman" w:hAnsi="Times New Roman" w:cs="Times New Roman"/>
          <w:sz w:val="24"/>
        </w:rPr>
        <w:t>11.</w:t>
      </w:r>
      <w:r w:rsidRPr="007B1664">
        <w:rPr>
          <w:rFonts w:ascii="Times New Roman" w:hAnsi="Times New Roman" w:cs="Times New Roman"/>
          <w:sz w:val="24"/>
        </w:rPr>
        <w:tab/>
      </w:r>
      <w:r w:rsidRPr="007B1664">
        <w:rPr>
          <w:rFonts w:ascii="Times New Roman" w:hAnsi="Times New Roman"/>
          <w:sz w:val="24"/>
        </w:rPr>
        <w:t xml:space="preserve">Os </w:t>
      </w:r>
      <w:r w:rsidRPr="007B1664">
        <w:rPr>
          <w:rFonts w:ascii="Times New Roman" w:hAnsi="Times New Roman"/>
          <w:sz w:val="24"/>
        </w:rPr>
        <w:t>elementos destes modelos não tomam em consideração os ajustamentos transitórios. Isto significa que os valores (exceto nos casos em que o requisito transitório de fundos próprios é especificamente indicado) são calculados de acordo com as disposições finai</w:t>
      </w:r>
      <w:r w:rsidRPr="007B1664">
        <w:rPr>
          <w:rFonts w:ascii="Times New Roman" w:hAnsi="Times New Roman"/>
          <w:sz w:val="24"/>
        </w:rPr>
        <w:t>s (ou seja, como se não existissem disposições transitórias).</w:t>
      </w:r>
    </w:p>
    <w:p w14:paraId="205D727C" w14:textId="77777777" w:rsidR="000B1B99" w:rsidRPr="007B1664" w:rsidRDefault="007B1664">
      <w:pPr>
        <w:pStyle w:val="Instructionsberschrift2"/>
        <w:ind w:left="357" w:hanging="357"/>
        <w:rPr>
          <w:rFonts w:ascii="Times New Roman" w:hAnsi="Times New Roman" w:cs="Times New Roman"/>
          <w:sz w:val="24"/>
        </w:rPr>
      </w:pPr>
      <w:bookmarkStart w:id="26" w:name="_Toc35795014"/>
      <w:bookmarkStart w:id="27" w:name="_Toc88247662"/>
      <w:r w:rsidRPr="007B1664">
        <w:rPr>
          <w:rFonts w:ascii="Times New Roman" w:hAnsi="Times New Roman"/>
          <w:sz w:val="24"/>
        </w:rPr>
        <w:t>1.2. I 01.00 - COMPOSIÇÃO DOS FUNDOS PRÓPRIOS (I 1)</w:t>
      </w:r>
      <w:bookmarkEnd w:id="26"/>
      <w:bookmarkEnd w:id="27"/>
    </w:p>
    <w:p w14:paraId="3BFDC2DC"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47663"/>
      <w:r w:rsidRPr="007B1664">
        <w:rPr>
          <w:rFonts w:ascii="Times New Roman" w:hAnsi="Times New Roman"/>
          <w:sz w:val="24"/>
          <w:szCs w:val="24"/>
        </w:rPr>
        <w:t>1.2.1.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7108B46B" w14:textId="77777777">
        <w:tc>
          <w:tcPr>
            <w:tcW w:w="1129" w:type="dxa"/>
            <w:shd w:val="clear" w:color="auto" w:fill="D9D9D9"/>
          </w:tcPr>
          <w:p w14:paraId="1129342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74C2D23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3FBF3375" w14:textId="77777777">
        <w:tc>
          <w:tcPr>
            <w:tcW w:w="1129" w:type="dxa"/>
          </w:tcPr>
          <w:p w14:paraId="75FE5EA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3A835C7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FUNDOS PRÓPRIOS</w:t>
            </w:r>
          </w:p>
          <w:p w14:paraId="5C7FACB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do </w:t>
            </w:r>
            <w:r w:rsidRPr="007B1664">
              <w:rPr>
                <w:rFonts w:ascii="Times New Roman" w:hAnsi="Times New Roman"/>
                <w:bCs/>
              </w:rPr>
              <w:t>Regulamento (UE) 2019/2033.</w:t>
            </w:r>
          </w:p>
          <w:p w14:paraId="291257C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 xml:space="preserve">Os fundos próprios de uma empresa de investimento são constituídos pela soma </w:t>
            </w:r>
            <w:r w:rsidRPr="007B1664">
              <w:rPr>
                <w:rStyle w:val="FormatvorlageInstructionsTabelleText"/>
                <w:rFonts w:ascii="Times New Roman" w:hAnsi="Times New Roman"/>
                <w:sz w:val="24"/>
              </w:rPr>
              <w:t>dos seus fundos próprios de nível 1 e fundos próprios de nível 2.</w:t>
            </w:r>
          </w:p>
        </w:tc>
      </w:tr>
      <w:tr w:rsidR="000B1B99" w:rsidRPr="007B1664" w14:paraId="08287946" w14:textId="77777777">
        <w:tc>
          <w:tcPr>
            <w:tcW w:w="1129" w:type="dxa"/>
          </w:tcPr>
          <w:p w14:paraId="2525DD2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Pr>
          <w:p w14:paraId="38A11BB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FUNDOS PRÓPRIOS DE NÍVEL 1</w:t>
            </w:r>
          </w:p>
          <w:p w14:paraId="17B14EC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 xml:space="preserve">Os fundos próprios de nível 1 são </w:t>
            </w:r>
            <w:r w:rsidRPr="007B1664">
              <w:rPr>
                <w:rStyle w:val="FormatvorlageInstructionsTabelleText"/>
                <w:rFonts w:ascii="Times New Roman" w:hAnsi="Times New Roman"/>
                <w:sz w:val="22"/>
              </w:rPr>
              <w:t>constituídos pela soma dos fundos próprios principais de nível 1 e dos fundos próprios adicionais de nível 1.</w:t>
            </w:r>
          </w:p>
        </w:tc>
      </w:tr>
      <w:tr w:rsidR="000B1B99" w:rsidRPr="007B1664" w14:paraId="0C3C3378" w14:textId="77777777">
        <w:tc>
          <w:tcPr>
            <w:tcW w:w="1129" w:type="dxa"/>
          </w:tcPr>
          <w:p w14:paraId="13C1166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718501B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InstructionsTabelleberschrift"/>
                <w:rFonts w:ascii="Times New Roman" w:hAnsi="Times New Roman"/>
                <w:sz w:val="22"/>
              </w:rPr>
              <w:t>FUNDOS PRÓPRIOS PRINCIPAIS DE NÍVEL 1</w:t>
            </w:r>
          </w:p>
          <w:p w14:paraId="169FF8A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12135F50" w14:textId="77777777" w:rsidR="000B1B99" w:rsidRPr="007B1664" w:rsidRDefault="007B1664">
            <w:pPr>
              <w:spacing w:after="120" w:line="240" w:lineRule="auto"/>
              <w:jc w:val="both"/>
            </w:pPr>
            <w:r w:rsidRPr="007B1664">
              <w:rPr>
                <w:rStyle w:val="FormatvorlageInstructionsTabelleText"/>
                <w:rFonts w:ascii="Times New Roman" w:hAnsi="Times New Roman"/>
                <w:sz w:val="22"/>
              </w:rPr>
              <w:t>Artigo 50.</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xml:space="preserve"> do 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tc>
      </w:tr>
      <w:tr w:rsidR="000B1B99" w:rsidRPr="007B1664" w14:paraId="6247224E" w14:textId="77777777">
        <w:tc>
          <w:tcPr>
            <w:tcW w:w="1129" w:type="dxa"/>
          </w:tcPr>
          <w:p w14:paraId="7C8F26E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Pr>
          <w:p w14:paraId="1AD57C5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Instrumentos de fundos próprios integralmente realizados</w:t>
            </w:r>
          </w:p>
          <w:p w14:paraId="0B0FBD1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75D610FD"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Artigo 26.</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1, alínea a), e artigos 27.</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xml:space="preserve"> a 31.°</w:t>
            </w:r>
            <w:r w:rsidRPr="007B1664">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3056C0DB"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Os instrum</w:t>
            </w:r>
            <w:r w:rsidRPr="007B1664">
              <w:rPr>
                <w:rStyle w:val="FormatvorlageInstructionsTabelleText"/>
                <w:rFonts w:ascii="Times New Roman" w:hAnsi="Times New Roman"/>
                <w:sz w:val="22"/>
                <w:szCs w:val="22"/>
              </w:rPr>
              <w:t>entos de fundos próprios de sociedades mútuas e cooperativas ou instituições similares (artigos 27.</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xml:space="preserve"> e 29.° do 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 devem ser incluídos.</w:t>
            </w:r>
          </w:p>
          <w:p w14:paraId="0B3170A5"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Os prémios de emissão de ações relacionados com os instrumentos não podem ser incluídos.</w:t>
            </w:r>
          </w:p>
          <w:p w14:paraId="02BB30AE" w14:textId="77777777" w:rsidR="000B1B99" w:rsidRPr="007B1664" w:rsidRDefault="007B1664">
            <w:pPr>
              <w:pStyle w:val="InstructionsText"/>
            </w:pPr>
            <w:r w:rsidRPr="007B1664">
              <w:rPr>
                <w:rStyle w:val="FormatvorlageInstructionsTabelleText"/>
                <w:rFonts w:ascii="Times New Roman" w:hAnsi="Times New Roman"/>
                <w:sz w:val="22"/>
                <w:szCs w:val="22"/>
              </w:rPr>
              <w:t>Os i</w:t>
            </w:r>
            <w:r w:rsidRPr="007B1664">
              <w:rPr>
                <w:rStyle w:val="FormatvorlageInstructionsTabelleText"/>
                <w:rFonts w:ascii="Times New Roman" w:hAnsi="Times New Roman"/>
                <w:sz w:val="22"/>
                <w:szCs w:val="22"/>
              </w:rPr>
              <w:t>nstrumentos de fundos próprios subscritos por autoridades públicas em situações de emergência devem ser incluídos se estiverem preenchidas todas as condições previstas no artigo 31.</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xml:space="preserve"> do 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tc>
      </w:tr>
      <w:tr w:rsidR="000B1B99" w:rsidRPr="007B1664" w14:paraId="7DA27B08" w14:textId="77777777">
        <w:tc>
          <w:tcPr>
            <w:tcW w:w="1129" w:type="dxa"/>
          </w:tcPr>
          <w:p w14:paraId="5DFBF2C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0050</w:t>
            </w:r>
          </w:p>
        </w:tc>
        <w:tc>
          <w:tcPr>
            <w:tcW w:w="7620" w:type="dxa"/>
          </w:tcPr>
          <w:p w14:paraId="259E01C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Prémios de emissão</w:t>
            </w:r>
          </w:p>
          <w:p w14:paraId="39B80E2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xml:space="preserve">, </w:t>
            </w:r>
            <w:r w:rsidRPr="007B1664">
              <w:rPr>
                <w:rFonts w:ascii="Times New Roman" w:hAnsi="Times New Roman"/>
                <w:bCs/>
              </w:rPr>
              <w:t>n.</w:t>
            </w:r>
            <w:r w:rsidRPr="007B1664">
              <w:rPr>
                <w:rFonts w:ascii="Times New Roman" w:hAnsi="Times New Roman"/>
                <w:bCs/>
                <w:vertAlign w:val="superscript"/>
              </w:rPr>
              <w:t>o</w:t>
            </w:r>
            <w:r w:rsidRPr="007B1664">
              <w:rPr>
                <w:rFonts w:ascii="Times New Roman" w:hAnsi="Times New Roman"/>
                <w:bCs/>
              </w:rPr>
              <w:t> 1, alínea i), do Regulamento (UE) 2019/2033.</w:t>
            </w:r>
          </w:p>
          <w:p w14:paraId="6504EC73" w14:textId="77777777" w:rsidR="000B1B99" w:rsidRPr="007B1664" w:rsidRDefault="007B1664">
            <w:pPr>
              <w:spacing w:after="120" w:line="240" w:lineRule="auto"/>
              <w:jc w:val="both"/>
              <w:rPr>
                <w:rStyle w:val="FormatvorlageInstructionsTabelleText"/>
                <w:rFonts w:ascii="Times New Roman" w:hAnsi="Times New Roman"/>
                <w:sz w:val="22"/>
              </w:rPr>
            </w:pPr>
            <w:r w:rsidRPr="007B1664">
              <w:rPr>
                <w:rStyle w:val="FormatvorlageInstructionsTabelleText"/>
                <w:rFonts w:ascii="Times New Roman" w:hAnsi="Times New Roman"/>
                <w:sz w:val="22"/>
              </w:rPr>
              <w:t>Artigo 26.</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alínea b), do 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p w14:paraId="08EFEDA5"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«Prémios de emissão de ações» tem a mesma aceção que na norma de contabilidade aplicável.</w:t>
            </w:r>
          </w:p>
          <w:p w14:paraId="777C7BB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O montante a comunicar neste elemento deve ser a par</w:t>
            </w:r>
            <w:r w:rsidRPr="007B1664">
              <w:rPr>
                <w:rStyle w:val="FormatvorlageInstructionsTabelleText"/>
                <w:rFonts w:ascii="Times New Roman" w:hAnsi="Times New Roman"/>
                <w:sz w:val="22"/>
              </w:rPr>
              <w:t>te relacionada com os «instrumentos de fundos próprios realizados».</w:t>
            </w:r>
          </w:p>
        </w:tc>
      </w:tr>
      <w:tr w:rsidR="000B1B99" w:rsidRPr="007B1664" w14:paraId="032D9BD7" w14:textId="77777777">
        <w:tc>
          <w:tcPr>
            <w:tcW w:w="1129" w:type="dxa"/>
          </w:tcPr>
          <w:p w14:paraId="5D56EF9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Pr>
          <w:p w14:paraId="6B3286A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Resultados retidos</w:t>
            </w:r>
          </w:p>
          <w:p w14:paraId="0C64150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768854AF" w14:textId="77777777" w:rsidR="000B1B99" w:rsidRPr="007B1664" w:rsidRDefault="007B1664">
            <w:pPr>
              <w:spacing w:after="120" w:line="240" w:lineRule="auto"/>
              <w:jc w:val="both"/>
              <w:rPr>
                <w:rFonts w:ascii="Times New Roman" w:eastAsia="Times New Roman" w:hAnsi="Times New Roman" w:cs="Times New Roman"/>
                <w:bCs/>
              </w:rPr>
            </w:pPr>
            <w:r w:rsidRPr="007B1664">
              <w:rPr>
                <w:rStyle w:val="FormatvorlageInstructionsTabelleText"/>
                <w:rFonts w:ascii="Times New Roman" w:hAnsi="Times New Roman"/>
                <w:sz w:val="22"/>
              </w:rPr>
              <w:t>Artigo 26.</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alínea c),</w:t>
            </w:r>
            <w:r w:rsidRPr="007B1664">
              <w:rPr>
                <w:rFonts w:ascii="Times New Roman" w:hAnsi="Times New Roman"/>
              </w:rPr>
              <w:t xml:space="preserve"> do </w:t>
            </w:r>
            <w:r w:rsidRPr="007B1664">
              <w:rPr>
                <w:rStyle w:val="FormatvorlageInstructionsTabelleText"/>
                <w:rFonts w:ascii="Times New Roman" w:hAnsi="Times New Roman"/>
                <w:sz w:val="22"/>
              </w:rPr>
              <w:t>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p w14:paraId="6725A9EB" w14:textId="77777777" w:rsidR="000B1B99" w:rsidRPr="007B1664" w:rsidRDefault="007B1664">
            <w:pPr>
              <w:spacing w:after="120" w:line="240" w:lineRule="auto"/>
              <w:jc w:val="both"/>
              <w:rPr>
                <w:rStyle w:val="FormatvorlageInstructionsTabelleText"/>
                <w:rFonts w:ascii="Times New Roman" w:hAnsi="Times New Roman"/>
                <w:sz w:val="22"/>
              </w:rPr>
            </w:pPr>
            <w:r w:rsidRPr="007B1664">
              <w:rPr>
                <w:rStyle w:val="FormatvorlageInstructionsTabelleText"/>
                <w:rFonts w:ascii="Times New Roman" w:hAnsi="Times New Roman"/>
                <w:sz w:val="22"/>
              </w:rPr>
              <w:t>Os resultados retidos incluem os resu</w:t>
            </w:r>
            <w:r w:rsidRPr="007B1664">
              <w:rPr>
                <w:rStyle w:val="FormatvorlageInstructionsTabelleText"/>
                <w:rFonts w:ascii="Times New Roman" w:hAnsi="Times New Roman"/>
                <w:sz w:val="22"/>
              </w:rPr>
              <w:t>ltados retidos do exercício anterior mais os lucros provisórios ou de final do exercício elegíveis.</w:t>
            </w:r>
          </w:p>
          <w:p w14:paraId="2AF48F6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Deve ser comunicada a soma total das linhas 0070 e 0080.</w:t>
            </w:r>
          </w:p>
        </w:tc>
      </w:tr>
      <w:tr w:rsidR="000B1B99" w:rsidRPr="007B1664" w14:paraId="2BB58268" w14:textId="77777777">
        <w:tc>
          <w:tcPr>
            <w:tcW w:w="1129" w:type="dxa"/>
          </w:tcPr>
          <w:p w14:paraId="07C0368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0070</w:t>
            </w:r>
          </w:p>
        </w:tc>
        <w:tc>
          <w:tcPr>
            <w:tcW w:w="7620" w:type="dxa"/>
          </w:tcPr>
          <w:p w14:paraId="73F8FEC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Resultados retidos de exercícios anteriores</w:t>
            </w:r>
          </w:p>
          <w:p w14:paraId="32534DC3" w14:textId="77777777" w:rsidR="000B1B99" w:rsidRPr="007B1664" w:rsidRDefault="007B1664">
            <w:pPr>
              <w:spacing w:after="120" w:line="240" w:lineRule="auto"/>
              <w:jc w:val="both"/>
              <w:rPr>
                <w:rFonts w:ascii="Times New Roman" w:eastAsia="Times New Roman" w:hAnsi="Times New Roman"/>
              </w:rPr>
            </w:pPr>
            <w:r w:rsidRPr="007B1664">
              <w:rPr>
                <w:rFonts w:ascii="Times New Roman" w:hAnsi="Times New Roman"/>
              </w:rPr>
              <w:t>Artigo 4.</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ponto 123, e artigo 26.</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alínea c), do Regulamento (UE) n.</w:t>
            </w:r>
            <w:r w:rsidRPr="007B1664">
              <w:rPr>
                <w:rFonts w:ascii="Times New Roman" w:hAnsi="Times New Roman"/>
                <w:vertAlign w:val="superscript"/>
              </w:rPr>
              <w:t>o</w:t>
            </w:r>
            <w:r w:rsidRPr="007B1664">
              <w:rPr>
                <w:rFonts w:ascii="Times New Roman" w:hAnsi="Times New Roman"/>
              </w:rPr>
              <w:t> 575/2013.</w:t>
            </w:r>
          </w:p>
          <w:p w14:paraId="40DAF9F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O artigo 4.</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ponto 123, do 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 define resultados retidos como «os resultados transitados por afetação do resultado final segundo o quadro contabilístico aplicável».</w:t>
            </w:r>
          </w:p>
        </w:tc>
      </w:tr>
      <w:tr w:rsidR="000B1B99" w:rsidRPr="007B1664" w14:paraId="3CFC47A8" w14:textId="77777777">
        <w:tc>
          <w:tcPr>
            <w:tcW w:w="1129" w:type="dxa"/>
          </w:tcPr>
          <w:p w14:paraId="6D58904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0080</w:t>
            </w:r>
          </w:p>
        </w:tc>
        <w:tc>
          <w:tcPr>
            <w:tcW w:w="7620" w:type="dxa"/>
          </w:tcPr>
          <w:p w14:paraId="79A4762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Lucros elegíveis</w:t>
            </w:r>
          </w:p>
          <w:p w14:paraId="35554EAC" w14:textId="77777777" w:rsidR="000B1B99" w:rsidRPr="007B1664" w:rsidRDefault="007B1664">
            <w:pPr>
              <w:spacing w:after="120" w:line="240" w:lineRule="auto"/>
              <w:jc w:val="both"/>
              <w:rPr>
                <w:rFonts w:ascii="Times New Roman" w:eastAsia="Times New Roman" w:hAnsi="Times New Roman"/>
              </w:rPr>
            </w:pPr>
            <w:r w:rsidRPr="007B1664">
              <w:rPr>
                <w:rFonts w:ascii="Times New Roman" w:hAnsi="Times New Roman"/>
              </w:rPr>
              <w:t>Artigo 4.</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ponto 121, e artigo 26.</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2, do Regulamento (UE) n.</w:t>
            </w:r>
            <w:r w:rsidRPr="007B1664">
              <w:rPr>
                <w:rFonts w:ascii="Times New Roman" w:hAnsi="Times New Roman"/>
                <w:vertAlign w:val="superscript"/>
              </w:rPr>
              <w:t>o</w:t>
            </w:r>
            <w:r w:rsidRPr="007B1664">
              <w:rPr>
                <w:rFonts w:ascii="Times New Roman" w:hAnsi="Times New Roman"/>
              </w:rPr>
              <w:t> 575/2013.</w:t>
            </w:r>
          </w:p>
          <w:p w14:paraId="24B7DF3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O artigo 26.</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2, do Regulamento (UE) n.</w:t>
            </w:r>
            <w:r w:rsidRPr="007B1664">
              <w:rPr>
                <w:rFonts w:ascii="Times New Roman" w:hAnsi="Times New Roman"/>
                <w:vertAlign w:val="superscript"/>
              </w:rPr>
              <w:t>o</w:t>
            </w:r>
            <w:r w:rsidRPr="007B1664">
              <w:rPr>
                <w:rFonts w:ascii="Times New Roman" w:hAnsi="Times New Roman"/>
              </w:rPr>
              <w:t> 575/2013 permite incluir os lucros provisórios ou de final do exercício como resultados retidos, com a</w:t>
            </w:r>
            <w:r w:rsidRPr="007B1664">
              <w:rPr>
                <w:rFonts w:ascii="Times New Roman" w:hAnsi="Times New Roman"/>
              </w:rPr>
              <w:t xml:space="preserve"> autorização prévia das autoridades competentes e se estiverem preenchidas determinadas condições. </w:t>
            </w:r>
          </w:p>
        </w:tc>
      </w:tr>
      <w:tr w:rsidR="000B1B99" w:rsidRPr="007B1664" w14:paraId="421556C7" w14:textId="77777777">
        <w:tc>
          <w:tcPr>
            <w:tcW w:w="1129" w:type="dxa"/>
          </w:tcPr>
          <w:p w14:paraId="3555D4B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0090</w:t>
            </w:r>
          </w:p>
        </w:tc>
        <w:tc>
          <w:tcPr>
            <w:tcW w:w="7620" w:type="dxa"/>
          </w:tcPr>
          <w:p w14:paraId="38CE64C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Outro rendimento integral acumulado</w:t>
            </w:r>
          </w:p>
          <w:p w14:paraId="60FCAFC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58F174A9" w14:textId="77777777" w:rsidR="000B1B99" w:rsidRPr="007B1664" w:rsidRDefault="007B1664">
            <w:pPr>
              <w:spacing w:after="120" w:line="240" w:lineRule="auto"/>
              <w:jc w:val="both"/>
              <w:rPr>
                <w:rFonts w:ascii="Times New Roman" w:hAnsi="Times New Roman" w:cs="Times New Roman"/>
                <w:bCs/>
              </w:rPr>
            </w:pPr>
            <w:r w:rsidRPr="007B1664">
              <w:rPr>
                <w:rStyle w:val="FormatvorlageInstructionsTabelleText"/>
                <w:rFonts w:ascii="Times New Roman" w:hAnsi="Times New Roman"/>
                <w:sz w:val="22"/>
              </w:rPr>
              <w:t>Artigo 26.</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xml:space="preserve"> 1, alínea d), do </w:t>
            </w:r>
            <w:r w:rsidRPr="007B1664">
              <w:rPr>
                <w:rStyle w:val="FormatvorlageInstructionsTabelleText"/>
                <w:rFonts w:ascii="Times New Roman" w:hAnsi="Times New Roman"/>
                <w:sz w:val="22"/>
              </w:rPr>
              <w:t>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tc>
      </w:tr>
      <w:tr w:rsidR="000B1B99" w:rsidRPr="007B1664" w14:paraId="0A144E14" w14:textId="77777777">
        <w:tc>
          <w:tcPr>
            <w:tcW w:w="1129" w:type="dxa"/>
          </w:tcPr>
          <w:p w14:paraId="47AEF2E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0100</w:t>
            </w:r>
          </w:p>
        </w:tc>
        <w:tc>
          <w:tcPr>
            <w:tcW w:w="7620" w:type="dxa"/>
          </w:tcPr>
          <w:p w14:paraId="1DA93CE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Outras reservas</w:t>
            </w:r>
          </w:p>
          <w:p w14:paraId="0091E0C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776905FC" w14:textId="77777777" w:rsidR="000B1B99" w:rsidRPr="007B1664" w:rsidRDefault="007B1664">
            <w:pPr>
              <w:spacing w:after="120" w:line="240" w:lineRule="auto"/>
              <w:jc w:val="both"/>
              <w:rPr>
                <w:rStyle w:val="FormatvorlageInstructionsTabelleText"/>
                <w:rFonts w:ascii="Times New Roman" w:hAnsi="Times New Roman"/>
                <w:sz w:val="22"/>
              </w:rPr>
            </w:pPr>
            <w:r w:rsidRPr="007B1664">
              <w:rPr>
                <w:rStyle w:val="FormatvorlageInstructionsTabelleText"/>
                <w:rFonts w:ascii="Times New Roman" w:hAnsi="Times New Roman"/>
                <w:sz w:val="22"/>
              </w:rPr>
              <w:t>Artigo 4.</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ponto 117, e artigo 26.</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alínea e), do 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p w14:paraId="131790A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O montante deve ser comunicado após a dedução</w:t>
            </w:r>
            <w:r w:rsidRPr="007B1664">
              <w:rPr>
                <w:rStyle w:val="FormatvorlageInstructionsTabelleText"/>
                <w:rFonts w:ascii="Times New Roman" w:hAnsi="Times New Roman"/>
                <w:sz w:val="22"/>
              </w:rPr>
              <w:t xml:space="preserve"> de quaisquer impostos previsíveis no momento do cálculo.</w:t>
            </w:r>
          </w:p>
        </w:tc>
      </w:tr>
      <w:tr w:rsidR="000B1B99" w:rsidRPr="007B1664" w14:paraId="15CB8618" w14:textId="77777777">
        <w:tc>
          <w:tcPr>
            <w:tcW w:w="1129" w:type="dxa"/>
          </w:tcPr>
          <w:p w14:paraId="480403B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0110</w:t>
            </w:r>
          </w:p>
        </w:tc>
        <w:tc>
          <w:tcPr>
            <w:tcW w:w="7620" w:type="dxa"/>
            <w:shd w:val="clear" w:color="auto" w:fill="auto"/>
          </w:tcPr>
          <w:p w14:paraId="5D0F9B5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Participação minoritária reconhecida nos FPP1</w:t>
            </w:r>
          </w:p>
          <w:p w14:paraId="3AC7F961" w14:textId="77777777" w:rsidR="000B1B99" w:rsidRPr="007B1664" w:rsidRDefault="007B1664">
            <w:pPr>
              <w:spacing w:after="120" w:line="240" w:lineRule="auto"/>
              <w:jc w:val="both"/>
              <w:rPr>
                <w:rStyle w:val="FormatvorlageInstructionsTabelleText"/>
                <w:rFonts w:ascii="Times New Roman" w:hAnsi="Times New Roman"/>
                <w:sz w:val="22"/>
              </w:rPr>
            </w:pPr>
            <w:r w:rsidRPr="007B1664">
              <w:rPr>
                <w:rStyle w:val="FormatvorlageInstructionsTabelleText"/>
                <w:rFonts w:ascii="Times New Roman" w:hAnsi="Times New Roman"/>
                <w:sz w:val="22"/>
              </w:rPr>
              <w:t>Artigo 84.</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artigo 85.</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e artigo 87.</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do 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p w14:paraId="24B6D9B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 xml:space="preserve">Soma de todos os montantes de </w:t>
            </w:r>
            <w:r w:rsidRPr="007B1664">
              <w:rPr>
                <w:rStyle w:val="FormatvorlageInstructionsTabelleText"/>
                <w:rFonts w:ascii="Times New Roman" w:hAnsi="Times New Roman"/>
                <w:sz w:val="22"/>
              </w:rPr>
              <w:t>participações minoritárias de filiais incluídos nos FPP1 consolidados.</w:t>
            </w:r>
          </w:p>
        </w:tc>
      </w:tr>
      <w:tr w:rsidR="000B1B99" w:rsidRPr="007B1664" w14:paraId="176AE599" w14:textId="77777777">
        <w:tc>
          <w:tcPr>
            <w:tcW w:w="1129" w:type="dxa"/>
          </w:tcPr>
          <w:p w14:paraId="3BE4122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0120</w:t>
            </w:r>
          </w:p>
        </w:tc>
        <w:tc>
          <w:tcPr>
            <w:tcW w:w="7620" w:type="dxa"/>
            <w:shd w:val="clear" w:color="auto" w:fill="auto"/>
          </w:tcPr>
          <w:p w14:paraId="3799F87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Ajustamentos dos FPP1 devidos a filtros prudenciais</w:t>
            </w:r>
          </w:p>
          <w:p w14:paraId="28DD4525" w14:textId="77777777" w:rsidR="000B1B99" w:rsidRPr="007B1664" w:rsidRDefault="007B1664">
            <w:pPr>
              <w:spacing w:after="120" w:line="240" w:lineRule="auto"/>
              <w:jc w:val="both"/>
              <w:rPr>
                <w:rStyle w:val="FormatvorlageInstructionsTabelleText"/>
                <w:rFonts w:ascii="Times New Roman" w:hAnsi="Times New Roman"/>
                <w:sz w:val="22"/>
              </w:rPr>
            </w:pPr>
            <w:r w:rsidRPr="007B1664">
              <w:rPr>
                <w:rStyle w:val="FormatvorlageInstructionsTabelleText"/>
                <w:rFonts w:ascii="Times New Roman" w:hAnsi="Times New Roman"/>
                <w:sz w:val="22"/>
              </w:rPr>
              <w:t>Artigo 9.</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alínea i), do Regulamento (UE) 2019/2033.</w:t>
            </w:r>
          </w:p>
          <w:p w14:paraId="4BB26F7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lastRenderedPageBreak/>
              <w:t>Artigos 32.</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xml:space="preserve"> a 35.° do 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tc>
      </w:tr>
      <w:tr w:rsidR="000B1B99" w:rsidRPr="007B1664" w14:paraId="71096D1E" w14:textId="77777777">
        <w:tc>
          <w:tcPr>
            <w:tcW w:w="1129" w:type="dxa"/>
          </w:tcPr>
          <w:p w14:paraId="7AF6EF5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0130</w:t>
            </w:r>
          </w:p>
        </w:tc>
        <w:tc>
          <w:tcPr>
            <w:tcW w:w="7620" w:type="dxa"/>
          </w:tcPr>
          <w:p w14:paraId="6E49488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Outros fundos</w:t>
            </w:r>
          </w:p>
          <w:p w14:paraId="0C7148F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do Regulamento (UE) 2019/2033.</w:t>
            </w:r>
          </w:p>
        </w:tc>
      </w:tr>
      <w:tr w:rsidR="000B1B99" w:rsidRPr="007B1664" w14:paraId="7D7A40D7" w14:textId="77777777">
        <w:tc>
          <w:tcPr>
            <w:tcW w:w="1129" w:type="dxa"/>
          </w:tcPr>
          <w:p w14:paraId="11AC10F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0140</w:t>
            </w:r>
          </w:p>
        </w:tc>
        <w:tc>
          <w:tcPr>
            <w:tcW w:w="7620" w:type="dxa"/>
          </w:tcPr>
          <w:p w14:paraId="11145B6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TOTAL DAS DEDUÇÕES AOS FUNDOS PRÓPRIOS PRINCIPAIS DE NÍVEL 1</w:t>
            </w:r>
          </w:p>
          <w:p w14:paraId="55035FA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Deve ser comunicada a soma total das linhas 0150 e 0190-0280.</w:t>
            </w:r>
          </w:p>
        </w:tc>
      </w:tr>
      <w:tr w:rsidR="000B1B99" w:rsidRPr="007B1664" w14:paraId="25D48F84" w14:textId="77777777">
        <w:tc>
          <w:tcPr>
            <w:tcW w:w="1129" w:type="dxa"/>
          </w:tcPr>
          <w:p w14:paraId="561685D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0150</w:t>
            </w:r>
          </w:p>
        </w:tc>
        <w:tc>
          <w:tcPr>
            <w:tcW w:w="7620" w:type="dxa"/>
            <w:shd w:val="clear" w:color="auto" w:fill="auto"/>
          </w:tcPr>
          <w:p w14:paraId="391A88F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Instrumentos próprios de FPP1</w:t>
            </w:r>
          </w:p>
          <w:p w14:paraId="4A05341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44AD01D8"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Artigo 36.</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1, alínea f), e artigo 42.</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xml:space="preserve"> do 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3C2C95FC"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Instrumentos próprios de FPP1 detidos pela instituição ou grupo que comunica informações à data de referência. Sob reserva das exce</w:t>
            </w:r>
            <w:r w:rsidRPr="007B1664">
              <w:rPr>
                <w:rStyle w:val="FormatvorlageInstructionsTabelleText"/>
                <w:rFonts w:ascii="Times New Roman" w:hAnsi="Times New Roman"/>
                <w:sz w:val="22"/>
                <w:szCs w:val="22"/>
              </w:rPr>
              <w:t>ções previstas no artigo 42.</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xml:space="preserve"> do 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1582A836"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As detenções de ações incluídas em «Instrumentos de fundos próprios não elegíveis» não podem ser comunicadas nesta linha.</w:t>
            </w:r>
          </w:p>
          <w:p w14:paraId="507BD3EB"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O montante a comunicar deve incluir os prémios de emissão de ações rel</w:t>
            </w:r>
            <w:r w:rsidRPr="007B1664">
              <w:rPr>
                <w:rStyle w:val="FormatvorlageInstructionsTabelleText"/>
                <w:rFonts w:ascii="Times New Roman" w:hAnsi="Times New Roman"/>
                <w:sz w:val="22"/>
                <w:szCs w:val="22"/>
              </w:rPr>
              <w:t>acionados com as ações próprias.</w:t>
            </w:r>
          </w:p>
          <w:p w14:paraId="397DAFF8" w14:textId="77777777" w:rsidR="000B1B99" w:rsidRPr="007B1664" w:rsidRDefault="000B1B99">
            <w:pPr>
              <w:pStyle w:val="InstructionsText"/>
            </w:pPr>
          </w:p>
        </w:tc>
      </w:tr>
      <w:tr w:rsidR="000B1B99" w:rsidRPr="007B1664" w14:paraId="5D5CA64B" w14:textId="77777777">
        <w:tc>
          <w:tcPr>
            <w:tcW w:w="1129" w:type="dxa"/>
          </w:tcPr>
          <w:p w14:paraId="66928D4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0160</w:t>
            </w:r>
          </w:p>
        </w:tc>
        <w:tc>
          <w:tcPr>
            <w:tcW w:w="7620" w:type="dxa"/>
            <w:shd w:val="clear" w:color="auto" w:fill="auto"/>
          </w:tcPr>
          <w:p w14:paraId="1F438E5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Detenções diretas de instrumentos de FPP1</w:t>
            </w:r>
          </w:p>
          <w:p w14:paraId="7DB8E23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38CA674A" w14:textId="77777777" w:rsidR="000B1B99" w:rsidRPr="007B1664" w:rsidRDefault="007B1664">
            <w:pPr>
              <w:pStyle w:val="InstructionsText"/>
              <w:rPr>
                <w:rStyle w:val="FormatvorlageInstructionsTabelleText"/>
                <w:rFonts w:ascii="Times New Roman" w:eastAsiaTheme="minorHAnsi" w:hAnsi="Times New Roman"/>
                <w:bCs/>
                <w:sz w:val="22"/>
                <w:szCs w:val="22"/>
              </w:rPr>
            </w:pPr>
            <w:r w:rsidRPr="007B1664">
              <w:rPr>
                <w:rStyle w:val="FormatvorlageInstructionsTabelleText"/>
                <w:rFonts w:ascii="Times New Roman" w:hAnsi="Times New Roman"/>
                <w:sz w:val="22"/>
                <w:szCs w:val="22"/>
              </w:rPr>
              <w:t>Artigo 36.</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1, alínea f), e artigo 42.</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xml:space="preserve"> do 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47E95487" w14:textId="77777777" w:rsidR="000B1B99" w:rsidRPr="007B1664" w:rsidRDefault="007B1664">
            <w:pPr>
              <w:pStyle w:val="InstructionsText"/>
              <w:rPr>
                <w:rFonts w:cs="Times New Roman"/>
                <w:b/>
                <w:bCs w:val="0"/>
                <w:u w:val="single"/>
              </w:rPr>
            </w:pPr>
            <w:r w:rsidRPr="007B1664">
              <w:rPr>
                <w:rStyle w:val="FormatvorlageInstructionsTabelleText"/>
                <w:rFonts w:ascii="Times New Roman" w:hAnsi="Times New Roman"/>
                <w:bCs/>
                <w:sz w:val="22"/>
              </w:rPr>
              <w:t xml:space="preserve">Instrumentos de fundos </w:t>
            </w:r>
            <w:r w:rsidRPr="007B1664">
              <w:rPr>
                <w:rStyle w:val="FormatvorlageInstructionsTabelleText"/>
                <w:rFonts w:ascii="Times New Roman" w:hAnsi="Times New Roman"/>
                <w:bCs/>
                <w:sz w:val="22"/>
              </w:rPr>
              <w:t>próprios principais de nível 1 detidos pela empresa de investimento.</w:t>
            </w:r>
          </w:p>
        </w:tc>
      </w:tr>
      <w:tr w:rsidR="000B1B99" w:rsidRPr="007B1664" w14:paraId="1B01F20B" w14:textId="77777777">
        <w:tc>
          <w:tcPr>
            <w:tcW w:w="1129" w:type="dxa"/>
          </w:tcPr>
          <w:p w14:paraId="466470A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6417AC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Detenções indiretas de instrumentos de FPP1</w:t>
            </w:r>
          </w:p>
          <w:p w14:paraId="690EDC4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Artigo 9.</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xml:space="preserve"> 1, alínea i), </w:t>
            </w:r>
            <w:r w:rsidRPr="007B1664">
              <w:rPr>
                <w:rStyle w:val="FormatvorlageInstructionsTabelleText"/>
                <w:rFonts w:ascii="Times New Roman" w:hAnsi="Times New Roman"/>
                <w:sz w:val="22"/>
              </w:rPr>
              <w:t>do</w:t>
            </w:r>
            <w:r w:rsidRPr="007B1664">
              <w:rPr>
                <w:rFonts w:ascii="Times New Roman" w:hAnsi="Times New Roman"/>
              </w:rPr>
              <w:t xml:space="preserve"> Regulamento (UE) 2019/2033.</w:t>
            </w:r>
          </w:p>
          <w:p w14:paraId="7A26A441" w14:textId="77777777" w:rsidR="000B1B99" w:rsidRPr="007B1664" w:rsidRDefault="007B1664">
            <w:pPr>
              <w:spacing w:after="120" w:line="240" w:lineRule="auto"/>
              <w:jc w:val="both"/>
              <w:rPr>
                <w:rFonts w:ascii="Times New Roman" w:eastAsia="Times New Roman" w:hAnsi="Times New Roman"/>
              </w:rPr>
            </w:pPr>
            <w:r w:rsidRPr="007B1664">
              <w:rPr>
                <w:rFonts w:ascii="Times New Roman" w:hAnsi="Times New Roman"/>
              </w:rPr>
              <w:t>Artigo 36.</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alínea f), e artigo 42.</w:t>
            </w:r>
            <w:r w:rsidRPr="007B1664">
              <w:rPr>
                <w:rFonts w:ascii="Times New Roman" w:hAnsi="Times New Roman"/>
                <w:vertAlign w:val="superscript"/>
              </w:rPr>
              <w:t>o</w:t>
            </w:r>
            <w:r w:rsidRPr="007B1664">
              <w:rPr>
                <w:rFonts w:ascii="Times New Roman" w:hAnsi="Times New Roman"/>
              </w:rPr>
              <w:t xml:space="preserve"> </w:t>
            </w:r>
            <w:r w:rsidRPr="007B1664">
              <w:rPr>
                <w:rStyle w:val="FormatvorlageInstructionsTabelleText"/>
                <w:rFonts w:ascii="Times New Roman" w:hAnsi="Times New Roman"/>
                <w:sz w:val="22"/>
              </w:rPr>
              <w:t>do</w:t>
            </w:r>
            <w:r w:rsidRPr="007B1664">
              <w:rPr>
                <w:rFonts w:ascii="Times New Roman" w:hAnsi="Times New Roman"/>
              </w:rPr>
              <w:t xml:space="preserve"> Regulamento (UE) n.</w:t>
            </w:r>
            <w:r w:rsidRPr="007B1664">
              <w:rPr>
                <w:rFonts w:ascii="Times New Roman" w:hAnsi="Times New Roman"/>
                <w:vertAlign w:val="superscript"/>
              </w:rPr>
              <w:t>o</w:t>
            </w:r>
            <w:r w:rsidRPr="007B1664">
              <w:rPr>
                <w:rFonts w:ascii="Times New Roman" w:hAnsi="Times New Roman"/>
              </w:rPr>
              <w:t> 575/2013.</w:t>
            </w:r>
          </w:p>
          <w:p w14:paraId="37783E7C" w14:textId="77777777" w:rsidR="000B1B99" w:rsidRPr="007B1664" w:rsidRDefault="007B1664">
            <w:pPr>
              <w:spacing w:after="120" w:line="240" w:lineRule="auto"/>
              <w:jc w:val="both"/>
              <w:rPr>
                <w:rFonts w:ascii="Times New Roman" w:eastAsia="Times New Roman" w:hAnsi="Times New Roman"/>
              </w:rPr>
            </w:pPr>
            <w:r w:rsidRPr="007B1664">
              <w:rPr>
                <w:rFonts w:ascii="Times New Roman" w:hAnsi="Times New Roman"/>
              </w:rPr>
              <w:t>Instrumentos de fundos próprios principais de nível 1 detidos pela empresa de investimento.</w:t>
            </w:r>
          </w:p>
        </w:tc>
      </w:tr>
      <w:tr w:rsidR="000B1B99" w:rsidRPr="007B1664" w14:paraId="241E70B7" w14:textId="77777777">
        <w:tc>
          <w:tcPr>
            <w:tcW w:w="1129" w:type="dxa"/>
          </w:tcPr>
          <w:p w14:paraId="34AF3F0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212B24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Detenções sintéticas de instrumentos de FPP1</w:t>
            </w:r>
          </w:p>
          <w:p w14:paraId="624D745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5074990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Artigo 4.</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xml:space="preserve"> 1, ponto 114, </w:t>
            </w:r>
            <w:r w:rsidRPr="007B1664">
              <w:rPr>
                <w:rStyle w:val="FormatvorlageInstructionsTabelleText"/>
                <w:rFonts w:ascii="Times New Roman" w:hAnsi="Times New Roman"/>
                <w:sz w:val="22"/>
              </w:rPr>
              <w:t>artigo 36.</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alínea f), e artigo 42.</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xml:space="preserve"> do 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tc>
      </w:tr>
      <w:tr w:rsidR="000B1B99" w:rsidRPr="007B1664" w14:paraId="6FDA5573" w14:textId="77777777">
        <w:tc>
          <w:tcPr>
            <w:tcW w:w="1129" w:type="dxa"/>
          </w:tcPr>
          <w:p w14:paraId="3ED6DC8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3D7A5F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Perdas relativas ao exercício em curso</w:t>
            </w:r>
          </w:p>
          <w:p w14:paraId="130632D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Artigo 36.</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alínea a), do Regulamento (UE) n.</w:t>
            </w:r>
            <w:r w:rsidRPr="007B1664">
              <w:rPr>
                <w:rFonts w:ascii="Times New Roman" w:hAnsi="Times New Roman"/>
                <w:vertAlign w:val="superscript"/>
              </w:rPr>
              <w:t>o</w:t>
            </w:r>
            <w:r w:rsidRPr="007B1664">
              <w:rPr>
                <w:rFonts w:ascii="Times New Roman" w:hAnsi="Times New Roman"/>
              </w:rPr>
              <w:t> 575/2013.</w:t>
            </w:r>
          </w:p>
        </w:tc>
      </w:tr>
      <w:tr w:rsidR="000B1B99" w:rsidRPr="007B1664" w14:paraId="2A0A63BF" w14:textId="77777777">
        <w:tc>
          <w:tcPr>
            <w:tcW w:w="1129" w:type="dxa"/>
          </w:tcPr>
          <w:p w14:paraId="260CFEB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944F2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 </w:t>
            </w:r>
            <w:r w:rsidRPr="007B1664">
              <w:rPr>
                <w:rFonts w:ascii="Times New Roman" w:hAnsi="Times New Roman"/>
                <w:b/>
                <w:bCs/>
                <w:i/>
                <w:u w:val="single"/>
              </w:rPr>
              <w:t>Goodwill</w:t>
            </w:r>
          </w:p>
          <w:p w14:paraId="63AE60F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i), do </w:t>
            </w:r>
            <w:r w:rsidRPr="007B1664">
              <w:rPr>
                <w:rFonts w:ascii="Times New Roman" w:hAnsi="Times New Roman"/>
                <w:bCs/>
              </w:rPr>
              <w:t>Regulamento (UE) 2019/2033.</w:t>
            </w:r>
          </w:p>
          <w:p w14:paraId="33CBBC7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Artigo 4.</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ponto 113, artigo 36.</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alínea b), e artigo 37.</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xml:space="preserve"> do 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tc>
      </w:tr>
      <w:tr w:rsidR="000B1B99" w:rsidRPr="007B1664" w14:paraId="59FA652F" w14:textId="77777777">
        <w:tc>
          <w:tcPr>
            <w:tcW w:w="1129" w:type="dxa"/>
          </w:tcPr>
          <w:p w14:paraId="6BA15E8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B4D14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Outros ativos intangíveis</w:t>
            </w:r>
          </w:p>
          <w:p w14:paraId="3BCCDE5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Artigo 9.</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xml:space="preserve"> 1, alínea i), </w:t>
            </w:r>
            <w:r w:rsidRPr="007B1664">
              <w:rPr>
                <w:rStyle w:val="FormatvorlageInstructionsTabelleText"/>
                <w:rFonts w:ascii="Times New Roman" w:hAnsi="Times New Roman"/>
                <w:sz w:val="22"/>
              </w:rPr>
              <w:t>do</w:t>
            </w:r>
            <w:r w:rsidRPr="007B1664">
              <w:rPr>
                <w:rFonts w:ascii="Times New Roman" w:hAnsi="Times New Roman"/>
              </w:rPr>
              <w:t xml:space="preserve"> Regulamento (UE) 2019/2033.</w:t>
            </w:r>
          </w:p>
          <w:p w14:paraId="3D7B8C9F" w14:textId="77777777" w:rsidR="000B1B99" w:rsidRPr="007B1664" w:rsidRDefault="007B1664">
            <w:pPr>
              <w:pStyle w:val="InstructionsText"/>
              <w:rPr>
                <w:rStyle w:val="FormatvorlageInstructionsTabelleText"/>
                <w:rFonts w:ascii="Times New Roman" w:eastAsiaTheme="minorHAnsi" w:hAnsi="Times New Roman"/>
                <w:bCs/>
                <w:sz w:val="22"/>
                <w:szCs w:val="22"/>
              </w:rPr>
            </w:pPr>
            <w:r w:rsidRPr="007B1664">
              <w:rPr>
                <w:rStyle w:val="FormatvorlageInstructionsTabelleText"/>
                <w:rFonts w:ascii="Times New Roman" w:hAnsi="Times New Roman"/>
                <w:sz w:val="22"/>
                <w:szCs w:val="22"/>
              </w:rPr>
              <w:t>Artigo 4.</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1, ponto 115, artigo 36.</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1, alínea b), e artigo 37.</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alínea a), do 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47CE8CB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lastRenderedPageBreak/>
              <w:t>Por «outros ativos intangíveis» entende-se os ativos intangíveis na aceção da norma de contabilidade aplic</w:t>
            </w:r>
            <w:r w:rsidRPr="007B1664">
              <w:rPr>
                <w:rStyle w:val="FormatvorlageInstructionsTabelleText"/>
                <w:rFonts w:ascii="Times New Roman" w:hAnsi="Times New Roman"/>
                <w:sz w:val="22"/>
              </w:rPr>
              <w:t xml:space="preserve">ável, menos o </w:t>
            </w:r>
            <w:r w:rsidRPr="007B1664">
              <w:rPr>
                <w:rStyle w:val="FormatvorlageInstructionsTabelleText"/>
                <w:rFonts w:ascii="Times New Roman" w:hAnsi="Times New Roman"/>
                <w:i/>
                <w:sz w:val="22"/>
              </w:rPr>
              <w:t>goodwill</w:t>
            </w:r>
            <w:r w:rsidRPr="007B1664">
              <w:rPr>
                <w:rStyle w:val="FormatvorlageInstructionsTabelleText"/>
                <w:rFonts w:ascii="Times New Roman" w:hAnsi="Times New Roman"/>
                <w:sz w:val="22"/>
              </w:rPr>
              <w:t>, também na aceção da norma de contabilidade aplicável.</w:t>
            </w:r>
          </w:p>
        </w:tc>
      </w:tr>
      <w:tr w:rsidR="000B1B99" w:rsidRPr="007B1664" w14:paraId="41C1F28E" w14:textId="77777777">
        <w:tc>
          <w:tcPr>
            <w:tcW w:w="1129" w:type="dxa"/>
          </w:tcPr>
          <w:p w14:paraId="7608A83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29642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Ativos por impostos diferidos que dependem da rendibilidade futura e não decorrem de diferenças temporárias líquidas dos passivos por impostos associados</w:t>
            </w:r>
          </w:p>
          <w:p w14:paraId="5FF2F11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xml:space="preserve">, </w:t>
            </w:r>
            <w:r w:rsidRPr="007B1664">
              <w:rPr>
                <w:rFonts w:ascii="Times New Roman" w:hAnsi="Times New Roman"/>
                <w:bCs/>
              </w:rPr>
              <w:t>n.</w:t>
            </w:r>
            <w:r w:rsidRPr="007B1664">
              <w:rPr>
                <w:rFonts w:ascii="Times New Roman" w:hAnsi="Times New Roman"/>
                <w:bCs/>
                <w:vertAlign w:val="superscript"/>
              </w:rPr>
              <w:t>o</w:t>
            </w:r>
            <w:r w:rsidRPr="007B1664">
              <w:rPr>
                <w:rFonts w:ascii="Times New Roman" w:hAnsi="Times New Roman"/>
                <w:bCs/>
              </w:rPr>
              <w:t> 2, alínea a), do Regulamento (UE) 2019/2033.</w:t>
            </w:r>
          </w:p>
          <w:p w14:paraId="06172A6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36.</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c),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0AFD0392" w14:textId="77777777">
        <w:tc>
          <w:tcPr>
            <w:tcW w:w="1129" w:type="dxa"/>
          </w:tcPr>
          <w:p w14:paraId="4882FC3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12A08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Participação qualificada fora do setor financeiro superior a 15 % dos fundos próprios</w:t>
            </w:r>
          </w:p>
          <w:p w14:paraId="39A506A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a), do Regulamento </w:t>
            </w:r>
            <w:r w:rsidRPr="007B1664">
              <w:rPr>
                <w:rFonts w:ascii="Times New Roman" w:hAnsi="Times New Roman"/>
                <w:bCs/>
              </w:rPr>
              <w:t>(UE) 2019/2033.</w:t>
            </w:r>
          </w:p>
        </w:tc>
      </w:tr>
      <w:tr w:rsidR="000B1B99" w:rsidRPr="007B1664" w14:paraId="6348A0F5" w14:textId="77777777">
        <w:tc>
          <w:tcPr>
            <w:tcW w:w="1129" w:type="dxa"/>
          </w:tcPr>
          <w:p w14:paraId="277EB5C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31086E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Total das participações qualificadas em empresas que não são entidades do setor financeiro que excedam 60 % dos seus fundos próprios</w:t>
            </w:r>
          </w:p>
          <w:p w14:paraId="6C14568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10.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b), do Regulamento (UE) 2019/2033.</w:t>
            </w:r>
          </w:p>
        </w:tc>
      </w:tr>
      <w:tr w:rsidR="000B1B99" w:rsidRPr="007B1664" w14:paraId="52A7D41C" w14:textId="77777777">
        <w:tc>
          <w:tcPr>
            <w:tcW w:w="1129" w:type="dxa"/>
          </w:tcPr>
          <w:p w14:paraId="7453B31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0A5C4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 Instrumentos de FPP1 de </w:t>
            </w:r>
            <w:r w:rsidRPr="007B1664">
              <w:rPr>
                <w:rFonts w:ascii="Times New Roman" w:hAnsi="Times New Roman"/>
                <w:b/>
                <w:bCs/>
                <w:u w:val="single"/>
              </w:rPr>
              <w:t>entidades do setor financeiro nas quais a empresa de investimento não tem um investimento significativo</w:t>
            </w:r>
          </w:p>
          <w:p w14:paraId="0A82473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c), do Regulamento (UE) 2019/2033.</w:t>
            </w:r>
          </w:p>
          <w:p w14:paraId="42F1D5E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Artigo 36.</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xml:space="preserve"> 1, alínea h), </w:t>
            </w:r>
            <w:r w:rsidRPr="007B1664">
              <w:rPr>
                <w:rStyle w:val="FormatvorlageInstructionsTabelleText"/>
                <w:rFonts w:ascii="Times New Roman" w:hAnsi="Times New Roman"/>
                <w:sz w:val="22"/>
              </w:rPr>
              <w:t>do</w:t>
            </w:r>
            <w:r w:rsidRPr="007B1664">
              <w:rPr>
                <w:rFonts w:ascii="Times New Roman" w:hAnsi="Times New Roman"/>
              </w:rPr>
              <w:t xml:space="preserve"> Regulamento (UE) n.</w:t>
            </w:r>
            <w:r w:rsidRPr="007B1664">
              <w:rPr>
                <w:rFonts w:ascii="Times New Roman" w:hAnsi="Times New Roman"/>
                <w:vertAlign w:val="superscript"/>
              </w:rPr>
              <w:t>o</w:t>
            </w:r>
            <w:r w:rsidRPr="007B1664">
              <w:rPr>
                <w:rFonts w:ascii="Times New Roman" w:hAnsi="Times New Roman"/>
              </w:rPr>
              <w:t> 575/2013.</w:t>
            </w:r>
          </w:p>
        </w:tc>
      </w:tr>
      <w:tr w:rsidR="000B1B99" w:rsidRPr="007B1664" w14:paraId="330BA426" w14:textId="77777777">
        <w:tc>
          <w:tcPr>
            <w:tcW w:w="1129" w:type="dxa"/>
          </w:tcPr>
          <w:p w14:paraId="0B81242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5551F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 </w:t>
            </w:r>
            <w:r w:rsidRPr="007B1664">
              <w:rPr>
                <w:rFonts w:ascii="Times New Roman" w:hAnsi="Times New Roman"/>
                <w:b/>
                <w:bCs/>
                <w:u w:val="single"/>
              </w:rPr>
              <w:t>Instrumentos de FPP1 de entidades do setor financeiro nas quais a empresa de investimento tem um investimento significativo</w:t>
            </w:r>
          </w:p>
          <w:p w14:paraId="08369AD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Artigo 9.</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xml:space="preserve"> 2, alínea d), </w:t>
            </w:r>
            <w:r w:rsidRPr="007B1664">
              <w:rPr>
                <w:rStyle w:val="FormatvorlageInstructionsTabelleText"/>
                <w:rFonts w:ascii="Times New Roman" w:hAnsi="Times New Roman"/>
                <w:sz w:val="22"/>
              </w:rPr>
              <w:t>do</w:t>
            </w:r>
            <w:r w:rsidRPr="007B1664">
              <w:rPr>
                <w:rFonts w:ascii="Times New Roman" w:hAnsi="Times New Roman"/>
              </w:rPr>
              <w:t xml:space="preserve"> Regulamento (UE) 2019/2033.</w:t>
            </w:r>
          </w:p>
          <w:p w14:paraId="31DE2A5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Artigo 36.</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xml:space="preserve"> 1, alínea i), </w:t>
            </w:r>
            <w:r w:rsidRPr="007B1664">
              <w:rPr>
                <w:rStyle w:val="FormatvorlageInstructionsTabelleText"/>
                <w:rFonts w:ascii="Times New Roman" w:hAnsi="Times New Roman"/>
                <w:sz w:val="22"/>
              </w:rPr>
              <w:t>do</w:t>
            </w:r>
            <w:r w:rsidRPr="007B1664">
              <w:rPr>
                <w:rFonts w:ascii="Times New Roman" w:hAnsi="Times New Roman"/>
              </w:rPr>
              <w:t xml:space="preserve"> Regulamento (UE) n.</w:t>
            </w:r>
            <w:r w:rsidRPr="007B1664">
              <w:rPr>
                <w:rFonts w:ascii="Times New Roman" w:hAnsi="Times New Roman"/>
                <w:vertAlign w:val="superscript"/>
              </w:rPr>
              <w:t>o</w:t>
            </w:r>
            <w:r w:rsidRPr="007B1664">
              <w:rPr>
                <w:rFonts w:ascii="Times New Roman" w:hAnsi="Times New Roman"/>
              </w:rPr>
              <w:t> 575/2013.</w:t>
            </w:r>
          </w:p>
        </w:tc>
      </w:tr>
      <w:tr w:rsidR="000B1B99" w:rsidRPr="007B1664" w14:paraId="6F254A55" w14:textId="77777777">
        <w:tc>
          <w:tcPr>
            <w:tcW w:w="1129" w:type="dxa"/>
          </w:tcPr>
          <w:p w14:paraId="60A51D6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65927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Ativos de fundos de pensões de benefício definido</w:t>
            </w:r>
          </w:p>
          <w:p w14:paraId="08B1CDB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Artigo 9.</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xml:space="preserve"> 2, alínea b), </w:t>
            </w:r>
            <w:r w:rsidRPr="007B1664">
              <w:rPr>
                <w:rStyle w:val="FormatvorlageInstructionsTabelleText"/>
                <w:rFonts w:ascii="Times New Roman" w:hAnsi="Times New Roman"/>
                <w:sz w:val="22"/>
              </w:rPr>
              <w:t>do</w:t>
            </w:r>
            <w:r w:rsidRPr="007B1664">
              <w:rPr>
                <w:rFonts w:ascii="Times New Roman" w:hAnsi="Times New Roman"/>
              </w:rPr>
              <w:t xml:space="preserve"> Regulamento (UE) 2019/2033.</w:t>
            </w:r>
          </w:p>
          <w:p w14:paraId="282D5BB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Artigo 36.</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xml:space="preserve"> 1, alínea e), </w:t>
            </w:r>
            <w:r w:rsidRPr="007B1664">
              <w:rPr>
                <w:rStyle w:val="FormatvorlageInstructionsTabelleText"/>
                <w:rFonts w:ascii="Times New Roman" w:hAnsi="Times New Roman"/>
                <w:sz w:val="22"/>
              </w:rPr>
              <w:t>do</w:t>
            </w:r>
            <w:r w:rsidRPr="007B1664">
              <w:rPr>
                <w:rFonts w:ascii="Times New Roman" w:hAnsi="Times New Roman"/>
              </w:rPr>
              <w:t xml:space="preserve"> Regulamento (UE) n.</w:t>
            </w:r>
            <w:r w:rsidRPr="007B1664">
              <w:rPr>
                <w:rFonts w:ascii="Times New Roman" w:hAnsi="Times New Roman"/>
                <w:vertAlign w:val="superscript"/>
              </w:rPr>
              <w:t>o</w:t>
            </w:r>
            <w:r w:rsidRPr="007B1664">
              <w:rPr>
                <w:rFonts w:ascii="Times New Roman" w:hAnsi="Times New Roman"/>
              </w:rPr>
              <w:t> 575/2013.</w:t>
            </w:r>
          </w:p>
        </w:tc>
      </w:tr>
      <w:tr w:rsidR="000B1B99" w:rsidRPr="007B1664" w14:paraId="2910F543" w14:textId="77777777">
        <w:tc>
          <w:tcPr>
            <w:tcW w:w="1129" w:type="dxa"/>
          </w:tcPr>
          <w:p w14:paraId="04A1959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F3AAB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Outras deduções</w:t>
            </w:r>
          </w:p>
          <w:p w14:paraId="2FE96D4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A soma de to</w:t>
            </w:r>
            <w:r w:rsidRPr="007B1664">
              <w:rPr>
                <w:rFonts w:ascii="Times New Roman" w:hAnsi="Times New Roman"/>
              </w:rPr>
              <w:t>das as outras deduções em conformidade com o artigo 36.</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xml:space="preserve"> 1, </w:t>
            </w:r>
            <w:r w:rsidRPr="007B1664">
              <w:rPr>
                <w:rStyle w:val="FormatvorlageInstructionsTabelleText"/>
                <w:rFonts w:ascii="Times New Roman" w:hAnsi="Times New Roman"/>
                <w:sz w:val="22"/>
              </w:rPr>
              <w:t>do</w:t>
            </w:r>
            <w:r w:rsidRPr="007B1664">
              <w:rPr>
                <w:rFonts w:ascii="Times New Roman" w:hAnsi="Times New Roman"/>
              </w:rPr>
              <w:t xml:space="preserve"> Regulamento (UE) n.</w:t>
            </w:r>
            <w:r w:rsidRPr="007B1664">
              <w:rPr>
                <w:rFonts w:ascii="Times New Roman" w:hAnsi="Times New Roman"/>
                <w:vertAlign w:val="superscript"/>
              </w:rPr>
              <w:t>o</w:t>
            </w:r>
            <w:r w:rsidRPr="007B1664">
              <w:rPr>
                <w:rFonts w:ascii="Times New Roman" w:hAnsi="Times New Roman"/>
              </w:rPr>
              <w:t xml:space="preserve"> 575/2013 que não estão incluídas em nenhuma das linhas 0150 a 0270 </w:t>
            </w:r>
            <w:r w:rsidRPr="007B1664">
              <w:rPr>
                <w:rFonts w:ascii="Times New Roman" w:hAnsi="Times New Roman"/>
                <w:i/>
              </w:rPr>
              <w:t>supra</w:t>
            </w:r>
          </w:p>
        </w:tc>
      </w:tr>
      <w:tr w:rsidR="000B1B99" w:rsidRPr="007B1664" w14:paraId="76442780" w14:textId="77777777">
        <w:tc>
          <w:tcPr>
            <w:tcW w:w="1129" w:type="dxa"/>
          </w:tcPr>
          <w:p w14:paraId="0A9DC9F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25A765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FPP1: Outros elementos de fundos próprios, deduções e ajustamentos</w:t>
            </w:r>
          </w:p>
          <w:p w14:paraId="437A4DA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Esta linha deve </w:t>
            </w:r>
            <w:r w:rsidRPr="007B1664">
              <w:rPr>
                <w:rFonts w:ascii="Times New Roman" w:hAnsi="Times New Roman"/>
                <w:bCs/>
              </w:rPr>
              <w:t>incluir a soma dos seguintes elementos, se aplicável:</w:t>
            </w:r>
          </w:p>
          <w:p w14:paraId="4602EBE5"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Ajustamentos transitórios devidos a instrumentos de FPP1 objeto de direitos adquiridos (artigo 483.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1, 2 e 3, e artigos 484.</w:t>
            </w:r>
            <w:r w:rsidRPr="007B1664">
              <w:rPr>
                <w:rFonts w:ascii="Times New Roman" w:hAnsi="Times New Roman"/>
                <w:bCs/>
                <w:vertAlign w:val="superscript"/>
              </w:rPr>
              <w:t>o</w:t>
            </w:r>
            <w:r w:rsidRPr="007B1664">
              <w:rPr>
                <w:rFonts w:ascii="Times New Roman" w:hAnsi="Times New Roman"/>
                <w:bCs/>
              </w:rPr>
              <w:t xml:space="preserve"> a 487.° do Regulamento (UE) n.</w:t>
            </w:r>
            <w:r w:rsidRPr="007B1664">
              <w:rPr>
                <w:rFonts w:ascii="Times New Roman" w:hAnsi="Times New Roman"/>
                <w:bCs/>
                <w:vertAlign w:val="superscript"/>
              </w:rPr>
              <w:t>o</w:t>
            </w:r>
            <w:r w:rsidRPr="007B1664">
              <w:rPr>
                <w:rFonts w:ascii="Times New Roman" w:hAnsi="Times New Roman"/>
                <w:bCs/>
              </w:rPr>
              <w:t> 575/2013).</w:t>
            </w:r>
          </w:p>
          <w:p w14:paraId="7920884E"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Ajustamentos transitórios devidos a participações minoritárias adicionais (artigos 479.</w:t>
            </w:r>
            <w:r w:rsidRPr="007B1664">
              <w:rPr>
                <w:rFonts w:ascii="Times New Roman" w:hAnsi="Times New Roman"/>
                <w:bCs/>
                <w:vertAlign w:val="superscript"/>
              </w:rPr>
              <w:t>o</w:t>
            </w:r>
            <w:r w:rsidRPr="007B1664">
              <w:rPr>
                <w:rFonts w:ascii="Times New Roman" w:hAnsi="Times New Roman"/>
                <w:bCs/>
              </w:rPr>
              <w:t xml:space="preserve"> e 480.° do Regulamento (UE) n.</w:t>
            </w:r>
            <w:r w:rsidRPr="007B1664">
              <w:rPr>
                <w:rFonts w:ascii="Times New Roman" w:hAnsi="Times New Roman"/>
                <w:bCs/>
                <w:vertAlign w:val="superscript"/>
              </w:rPr>
              <w:t>o</w:t>
            </w:r>
            <w:r w:rsidRPr="007B1664">
              <w:rPr>
                <w:rFonts w:ascii="Times New Roman" w:hAnsi="Times New Roman"/>
                <w:bCs/>
              </w:rPr>
              <w:t> 575/2013).</w:t>
            </w:r>
          </w:p>
          <w:p w14:paraId="701A098D"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Outros ajustamentos transitórios dos FPP1 (artigos 469.</w:t>
            </w:r>
            <w:r w:rsidRPr="007B1664">
              <w:rPr>
                <w:rFonts w:ascii="Times New Roman" w:hAnsi="Times New Roman"/>
                <w:bCs/>
                <w:vertAlign w:val="superscript"/>
              </w:rPr>
              <w:t>o</w:t>
            </w:r>
            <w:r w:rsidRPr="007B1664">
              <w:rPr>
                <w:rFonts w:ascii="Times New Roman" w:hAnsi="Times New Roman"/>
                <w:bCs/>
              </w:rPr>
              <w:t xml:space="preserve"> a 478.° e 481.° do Regulamento (UE) n.</w:t>
            </w:r>
            <w:r w:rsidRPr="007B1664">
              <w:rPr>
                <w:rFonts w:ascii="Times New Roman" w:hAnsi="Times New Roman"/>
                <w:bCs/>
                <w:vertAlign w:val="superscript"/>
              </w:rPr>
              <w:t>o</w:t>
            </w:r>
            <w:r w:rsidRPr="007B1664">
              <w:rPr>
                <w:rFonts w:ascii="Times New Roman" w:hAnsi="Times New Roman"/>
                <w:bCs/>
              </w:rPr>
              <w:t> 575/2013): ajustamentos d</w:t>
            </w:r>
            <w:r w:rsidRPr="007B1664">
              <w:rPr>
                <w:rFonts w:ascii="Times New Roman" w:hAnsi="Times New Roman"/>
                <w:bCs/>
              </w:rPr>
              <w:t>as deduções aos FPP1 devido a disposições transitórias</w:t>
            </w:r>
          </w:p>
          <w:p w14:paraId="31ED51BF" w14:textId="77777777" w:rsidR="000B1B99" w:rsidRPr="007B1664" w:rsidRDefault="007B1664">
            <w:pPr>
              <w:spacing w:after="120" w:line="240" w:lineRule="auto"/>
              <w:ind w:left="360" w:hanging="360"/>
              <w:jc w:val="both"/>
              <w:rPr>
                <w:rFonts w:ascii="Times New Roman" w:eastAsia="Times New Roman" w:hAnsi="Times New Roman" w:cs="Times New Roman"/>
                <w:b/>
                <w:bCs/>
                <w:u w:val="single"/>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Outros elementos de FPP1 ou deduções a um elemento de FPP1 que não possam ser afetados a uma das linhas 0040 a 0280.</w:t>
            </w:r>
          </w:p>
          <w:p w14:paraId="7865D90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lastRenderedPageBreak/>
              <w:t>Esta linha não deve ser utilizada para incluir elementos ou deduções de fundos pró</w:t>
            </w:r>
            <w:r w:rsidRPr="007B1664">
              <w:rPr>
                <w:rFonts w:ascii="Times New Roman" w:hAnsi="Times New Roman"/>
                <w:bCs/>
              </w:rPr>
              <w:t>prios não abrangidos pelo Regulamento (UE) 2019/2033 ou pelo Regulamento (UE) n.</w:t>
            </w:r>
            <w:r w:rsidRPr="007B1664">
              <w:rPr>
                <w:rFonts w:ascii="Times New Roman" w:hAnsi="Times New Roman"/>
                <w:bCs/>
                <w:vertAlign w:val="superscript"/>
              </w:rPr>
              <w:t>o</w:t>
            </w:r>
            <w:r w:rsidRPr="007B1664">
              <w:rPr>
                <w:rFonts w:ascii="Times New Roman" w:hAnsi="Times New Roman"/>
                <w:bCs/>
              </w:rPr>
              <w:t> 575/2013 no cálculo dos rácios de solvabilidade</w:t>
            </w:r>
            <w:r w:rsidRPr="007B1664">
              <w:rPr>
                <w:rFonts w:ascii="Times New Roman" w:hAnsi="Times New Roman"/>
                <w:b/>
                <w:bCs/>
                <w:u w:val="single"/>
              </w:rPr>
              <w:t xml:space="preserve"> </w:t>
            </w:r>
          </w:p>
        </w:tc>
      </w:tr>
      <w:tr w:rsidR="000B1B99" w:rsidRPr="007B1664" w14:paraId="11B7AD08" w14:textId="77777777">
        <w:tc>
          <w:tcPr>
            <w:tcW w:w="1129" w:type="dxa"/>
          </w:tcPr>
          <w:p w14:paraId="2FAC55C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164A6D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FUNDOS PRÓPRIOS ADICIONAIS DE NÍVEL 1</w:t>
            </w:r>
          </w:p>
          <w:p w14:paraId="0D623CC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0CC1BB78"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rPr>
              <w:t>Artigo 61.</w:t>
            </w:r>
            <w:r w:rsidRPr="007B1664">
              <w:rPr>
                <w:rFonts w:ascii="Times New Roman" w:hAnsi="Times New Roman"/>
                <w:vertAlign w:val="superscript"/>
              </w:rPr>
              <w:t>o</w:t>
            </w:r>
            <w:r w:rsidRPr="007B1664">
              <w:rPr>
                <w:rFonts w:ascii="Times New Roman" w:hAnsi="Times New Roman"/>
              </w:rPr>
              <w:t xml:space="preserve"> do Regulamento (UE)</w:t>
            </w:r>
            <w:r w:rsidRPr="007B1664">
              <w:rPr>
                <w:rFonts w:ascii="Times New Roman" w:hAnsi="Times New Roman"/>
              </w:rPr>
              <w:t xml:space="preserve"> n.</w:t>
            </w:r>
            <w:r w:rsidRPr="007B1664">
              <w:rPr>
                <w:rFonts w:ascii="Times New Roman" w:hAnsi="Times New Roman"/>
                <w:vertAlign w:val="superscript"/>
              </w:rPr>
              <w:t>o</w:t>
            </w:r>
            <w:r w:rsidRPr="007B1664">
              <w:rPr>
                <w:rFonts w:ascii="Times New Roman" w:hAnsi="Times New Roman"/>
              </w:rPr>
              <w:t> 575/2013.</w:t>
            </w:r>
          </w:p>
          <w:p w14:paraId="7F41932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Deve ser comunicada a soma total das linhas 0310 a 0330 e 0410.</w:t>
            </w:r>
          </w:p>
        </w:tc>
      </w:tr>
      <w:tr w:rsidR="000B1B99" w:rsidRPr="007B1664" w14:paraId="784A4F01" w14:textId="77777777">
        <w:tc>
          <w:tcPr>
            <w:tcW w:w="1129" w:type="dxa"/>
          </w:tcPr>
          <w:p w14:paraId="4E75C40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EE1C4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Instrumentos de fundos próprios integralmente realizados e emitidos diretamente</w:t>
            </w:r>
          </w:p>
          <w:p w14:paraId="47BED00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7E3FF515"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Artigo 51.</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xml:space="preserve">, alínea a), e </w:t>
            </w:r>
            <w:r w:rsidRPr="007B1664">
              <w:rPr>
                <w:rStyle w:val="FormatvorlageInstructionsTabelleText"/>
                <w:rFonts w:ascii="Times New Roman" w:hAnsi="Times New Roman"/>
                <w:sz w:val="22"/>
                <w:szCs w:val="22"/>
              </w:rPr>
              <w:t>artigos 52.</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53.° e 54.°</w:t>
            </w:r>
            <w:r w:rsidRPr="007B1664">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76AA249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O montante a comunicar não pode incluir os prémios de emissão de ações relacionados com os instrumentos</w:t>
            </w:r>
          </w:p>
        </w:tc>
      </w:tr>
      <w:tr w:rsidR="000B1B99" w:rsidRPr="007B1664" w14:paraId="1E85AA6F" w14:textId="77777777">
        <w:tc>
          <w:tcPr>
            <w:tcW w:w="1129" w:type="dxa"/>
          </w:tcPr>
          <w:p w14:paraId="55C5C25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BD498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Prémios de emissão</w:t>
            </w:r>
          </w:p>
          <w:p w14:paraId="5EBA127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i), do Regulamento (UE) </w:t>
            </w:r>
            <w:r w:rsidRPr="007B1664">
              <w:rPr>
                <w:rFonts w:ascii="Times New Roman" w:hAnsi="Times New Roman"/>
                <w:bCs/>
              </w:rPr>
              <w:t>2019/2033.</w:t>
            </w:r>
          </w:p>
          <w:p w14:paraId="23640E78"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Artigo 51.</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alínea b),</w:t>
            </w:r>
            <w:r w:rsidRPr="007B1664">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508BC8E4"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«Prémios de emissão de ações» tem a mesma aceção que na norma de contabilidade aplicável.</w:t>
            </w:r>
          </w:p>
          <w:p w14:paraId="1DA6AE9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O montante a comunicar neste elemento deve ser a parte relacionada com os «instrumentos de fundos</w:t>
            </w:r>
            <w:r w:rsidRPr="007B1664">
              <w:rPr>
                <w:rStyle w:val="FormatvorlageInstructionsTabelleText"/>
                <w:rFonts w:ascii="Times New Roman" w:hAnsi="Times New Roman"/>
                <w:sz w:val="22"/>
              </w:rPr>
              <w:t xml:space="preserve"> próprios realizados».</w:t>
            </w:r>
          </w:p>
        </w:tc>
      </w:tr>
      <w:tr w:rsidR="000B1B99" w:rsidRPr="007B1664" w14:paraId="765758F5" w14:textId="77777777">
        <w:tc>
          <w:tcPr>
            <w:tcW w:w="1129" w:type="dxa"/>
          </w:tcPr>
          <w:p w14:paraId="08E81F4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05583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TOTAL DAS DEDUÇÕES AOS FUNDOS PRÓPRIOS ADICIONAIS DE NÍVEL 1</w:t>
            </w:r>
          </w:p>
          <w:p w14:paraId="0415F2E7" w14:textId="77777777" w:rsidR="000B1B99" w:rsidRPr="007B1664" w:rsidRDefault="007B1664">
            <w:pPr>
              <w:spacing w:before="60" w:after="60"/>
              <w:rPr>
                <w:rFonts w:ascii="Times New Roman" w:hAnsi="Times New Roman" w:cs="Times New Roman"/>
              </w:rPr>
            </w:pPr>
            <w:r w:rsidRPr="007B1664">
              <w:rPr>
                <w:rFonts w:ascii="Times New Roman" w:hAnsi="Times New Roman"/>
              </w:rPr>
              <w:t>Artigo 56.</w:t>
            </w:r>
            <w:r w:rsidRPr="007B1664">
              <w:rPr>
                <w:rFonts w:ascii="Times New Roman" w:hAnsi="Times New Roman"/>
                <w:vertAlign w:val="superscript"/>
              </w:rPr>
              <w:t>o</w:t>
            </w:r>
            <w:r w:rsidRPr="007B1664">
              <w:rPr>
                <w:rFonts w:ascii="Times New Roman" w:hAnsi="Times New Roman"/>
              </w:rPr>
              <w:t xml:space="preserve"> do Regulamento (UE) n.</w:t>
            </w:r>
            <w:r w:rsidRPr="007B1664">
              <w:rPr>
                <w:rFonts w:ascii="Times New Roman" w:hAnsi="Times New Roman"/>
                <w:vertAlign w:val="superscript"/>
              </w:rPr>
              <w:t>o</w:t>
            </w:r>
            <w:r w:rsidRPr="007B1664">
              <w:rPr>
                <w:rFonts w:ascii="Times New Roman" w:hAnsi="Times New Roman"/>
              </w:rPr>
              <w:t> 575/2013.</w:t>
            </w:r>
          </w:p>
          <w:p w14:paraId="59142EE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Deve ser comunicada a soma total das linhas 0340 e 0380-0400.</w:t>
            </w:r>
          </w:p>
        </w:tc>
      </w:tr>
      <w:tr w:rsidR="000B1B99" w:rsidRPr="007B1664" w14:paraId="19C994ED" w14:textId="77777777">
        <w:tc>
          <w:tcPr>
            <w:tcW w:w="1129" w:type="dxa"/>
          </w:tcPr>
          <w:p w14:paraId="0FFCAC7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6FFAD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Instrumentos próprios de FPA1</w:t>
            </w:r>
          </w:p>
          <w:p w14:paraId="41F7B04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xml:space="preserve">, </w:t>
            </w:r>
            <w:r w:rsidRPr="007B1664">
              <w:rPr>
                <w:rFonts w:ascii="Times New Roman" w:hAnsi="Times New Roman"/>
                <w:bCs/>
              </w:rPr>
              <w:t>n.</w:t>
            </w:r>
            <w:r w:rsidRPr="007B1664">
              <w:rPr>
                <w:rFonts w:ascii="Times New Roman" w:hAnsi="Times New Roman"/>
                <w:bCs/>
                <w:vertAlign w:val="superscript"/>
              </w:rPr>
              <w:t>o</w:t>
            </w:r>
            <w:r w:rsidRPr="007B1664">
              <w:rPr>
                <w:rFonts w:ascii="Times New Roman" w:hAnsi="Times New Roman"/>
                <w:bCs/>
              </w:rPr>
              <w:t> 1, alínea i), do Regulamento (UE) 2019/2033.</w:t>
            </w:r>
          </w:p>
          <w:p w14:paraId="56324C10" w14:textId="77777777" w:rsidR="000B1B99" w:rsidRPr="007B1664" w:rsidRDefault="007B1664">
            <w:pPr>
              <w:pStyle w:val="InstructionsText"/>
              <w:rPr>
                <w:rStyle w:val="FormatvorlageInstructionsTabelleText"/>
                <w:rFonts w:ascii="Times New Roman" w:eastAsiaTheme="minorHAnsi" w:hAnsi="Times New Roman"/>
                <w:bCs/>
                <w:sz w:val="22"/>
                <w:szCs w:val="22"/>
              </w:rPr>
            </w:pPr>
            <w:r w:rsidRPr="007B1664">
              <w:rPr>
                <w:rStyle w:val="FormatvorlageInstructionsTabelleText"/>
                <w:rFonts w:ascii="Times New Roman" w:hAnsi="Times New Roman"/>
                <w:sz w:val="22"/>
                <w:szCs w:val="22"/>
              </w:rPr>
              <w:t>Artigo 52.</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1, alínea b), artigo 56.</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alínea a), e artigo 57.</w:t>
            </w:r>
            <w:r w:rsidRPr="007B1664">
              <w:rPr>
                <w:rStyle w:val="FormatvorlageInstructionsTabelleText"/>
                <w:rFonts w:ascii="Times New Roman" w:hAnsi="Times New Roman"/>
                <w:sz w:val="22"/>
                <w:szCs w:val="22"/>
                <w:vertAlign w:val="superscript"/>
              </w:rPr>
              <w:t>o</w:t>
            </w:r>
            <w:r w:rsidRPr="007B1664">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629CEB76"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Instrumentos próprios de FPA1 detidos pela empresa de investimento à data de referência. Sob reserva das</w:t>
            </w:r>
            <w:r w:rsidRPr="007B1664">
              <w:rPr>
                <w:rStyle w:val="FormatvorlageInstructionsTabelleText"/>
                <w:rFonts w:ascii="Times New Roman" w:hAnsi="Times New Roman"/>
                <w:sz w:val="22"/>
                <w:szCs w:val="22"/>
              </w:rPr>
              <w:t xml:space="preserve"> exceções previstas no artigo 57.</w:t>
            </w:r>
            <w:r w:rsidRPr="007B1664">
              <w:rPr>
                <w:rStyle w:val="FormatvorlageInstructionsTabelleText"/>
                <w:rFonts w:ascii="Times New Roman" w:hAnsi="Times New Roman"/>
                <w:sz w:val="22"/>
                <w:szCs w:val="22"/>
                <w:vertAlign w:val="superscript"/>
              </w:rPr>
              <w:t>o</w:t>
            </w:r>
            <w:r w:rsidRPr="007B1664">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3901EC0E" w14:textId="77777777" w:rsidR="000B1B99" w:rsidRPr="007B1664" w:rsidRDefault="007B1664">
            <w:pPr>
              <w:pStyle w:val="InstructionsText"/>
            </w:pPr>
            <w:r w:rsidRPr="007B1664">
              <w:rPr>
                <w:rStyle w:val="FormatvorlageInstructionsTabelleText"/>
                <w:rFonts w:ascii="Times New Roman" w:hAnsi="Times New Roman"/>
                <w:sz w:val="22"/>
                <w:szCs w:val="22"/>
              </w:rPr>
              <w:t>O montante a comunicar deve incluir os prémios de emissão de ações relacionados com as ações próprias.</w:t>
            </w:r>
          </w:p>
        </w:tc>
      </w:tr>
      <w:tr w:rsidR="000B1B99" w:rsidRPr="007B1664" w14:paraId="490241E1" w14:textId="77777777">
        <w:tc>
          <w:tcPr>
            <w:tcW w:w="1129" w:type="dxa"/>
          </w:tcPr>
          <w:p w14:paraId="656318A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B555E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Detenções diretas de instrumentos de FPA1</w:t>
            </w:r>
          </w:p>
          <w:p w14:paraId="38AD17D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c), do</w:t>
            </w:r>
            <w:r w:rsidRPr="007B1664">
              <w:rPr>
                <w:rFonts w:ascii="Times New Roman" w:hAnsi="Times New Roman"/>
                <w:bCs/>
              </w:rPr>
              <w:t xml:space="preserve"> Regulamento (UE) 2019/2033.</w:t>
            </w:r>
          </w:p>
          <w:p w14:paraId="63798C2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56.</w:t>
            </w:r>
            <w:r w:rsidRPr="007B1664">
              <w:rPr>
                <w:rFonts w:ascii="Times New Roman" w:hAnsi="Times New Roman"/>
                <w:bCs/>
                <w:vertAlign w:val="superscript"/>
              </w:rPr>
              <w:t>o</w:t>
            </w:r>
            <w:r w:rsidRPr="007B1664">
              <w:rPr>
                <w:rFonts w:ascii="Times New Roman" w:hAnsi="Times New Roman"/>
                <w:bCs/>
              </w:rPr>
              <w:t>, alínea a),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74CBC5CD" w14:textId="77777777">
        <w:tc>
          <w:tcPr>
            <w:tcW w:w="1129" w:type="dxa"/>
          </w:tcPr>
          <w:p w14:paraId="76A637C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B7458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Detenções indiretas de instrumentos de FPA1</w:t>
            </w:r>
          </w:p>
          <w:p w14:paraId="4EF343B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c), do Regulamento (UE) 2019/2033.</w:t>
            </w:r>
          </w:p>
          <w:p w14:paraId="65792D4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56.</w:t>
            </w:r>
            <w:r w:rsidRPr="007B1664">
              <w:rPr>
                <w:rFonts w:ascii="Times New Roman" w:hAnsi="Times New Roman"/>
                <w:bCs/>
                <w:vertAlign w:val="superscript"/>
              </w:rPr>
              <w:t>o</w:t>
            </w:r>
            <w:r w:rsidRPr="007B1664">
              <w:rPr>
                <w:rFonts w:ascii="Times New Roman" w:hAnsi="Times New Roman"/>
                <w:bCs/>
              </w:rPr>
              <w:t>, alínea a),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388A7EBF" w14:textId="77777777">
        <w:tc>
          <w:tcPr>
            <w:tcW w:w="1129" w:type="dxa"/>
          </w:tcPr>
          <w:p w14:paraId="487039B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462FF3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Detenções sintéticas de instrumentos de FPA1</w:t>
            </w:r>
          </w:p>
          <w:p w14:paraId="34E5C3B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c), do Regulamento (UE) 2019/2033.</w:t>
            </w:r>
          </w:p>
          <w:p w14:paraId="6D92EC9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56.</w:t>
            </w:r>
            <w:r w:rsidRPr="007B1664">
              <w:rPr>
                <w:rFonts w:ascii="Times New Roman" w:hAnsi="Times New Roman"/>
                <w:bCs/>
                <w:vertAlign w:val="superscript"/>
              </w:rPr>
              <w:t>o</w:t>
            </w:r>
            <w:r w:rsidRPr="007B1664">
              <w:rPr>
                <w:rFonts w:ascii="Times New Roman" w:hAnsi="Times New Roman"/>
                <w:bCs/>
              </w:rPr>
              <w:t>, alínea a),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04B8B07C" w14:textId="77777777">
        <w:tc>
          <w:tcPr>
            <w:tcW w:w="1129" w:type="dxa"/>
          </w:tcPr>
          <w:p w14:paraId="342D39D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106F0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Instrumentos de FPA1 de entidades do setor financeiro nas qua</w:t>
            </w:r>
            <w:r w:rsidRPr="007B1664">
              <w:rPr>
                <w:rFonts w:ascii="Times New Roman" w:hAnsi="Times New Roman"/>
                <w:b/>
                <w:bCs/>
                <w:u w:val="single"/>
              </w:rPr>
              <w:t>is a empresa de investimento não tem um investimento significativo</w:t>
            </w:r>
          </w:p>
          <w:p w14:paraId="7F813B4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c), do Regulamento (UE) 2019/2033.</w:t>
            </w:r>
          </w:p>
          <w:p w14:paraId="1BCC392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56.</w:t>
            </w:r>
            <w:r w:rsidRPr="007B1664">
              <w:rPr>
                <w:rFonts w:ascii="Times New Roman" w:hAnsi="Times New Roman"/>
                <w:bCs/>
                <w:vertAlign w:val="superscript"/>
              </w:rPr>
              <w:t>o</w:t>
            </w:r>
            <w:r w:rsidRPr="007B1664">
              <w:rPr>
                <w:rFonts w:ascii="Times New Roman" w:hAnsi="Times New Roman"/>
                <w:bCs/>
              </w:rPr>
              <w:t>, alínea c),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7CED21C3" w14:textId="77777777">
        <w:tc>
          <w:tcPr>
            <w:tcW w:w="1129" w:type="dxa"/>
          </w:tcPr>
          <w:p w14:paraId="3C57447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E949C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Instrumentos de FPA1 de entidades do setor financeiro nas qu</w:t>
            </w:r>
            <w:r w:rsidRPr="007B1664">
              <w:rPr>
                <w:rFonts w:ascii="Times New Roman" w:hAnsi="Times New Roman"/>
                <w:b/>
                <w:bCs/>
                <w:u w:val="single"/>
              </w:rPr>
              <w:t>ais a empresa de investimento tem um investimento significativo</w:t>
            </w:r>
          </w:p>
          <w:p w14:paraId="62C0A0B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c), do Regulamento (UE) 2019/2033.</w:t>
            </w:r>
          </w:p>
          <w:p w14:paraId="12E1D67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56.</w:t>
            </w:r>
            <w:r w:rsidRPr="007B1664">
              <w:rPr>
                <w:rFonts w:ascii="Times New Roman" w:hAnsi="Times New Roman"/>
                <w:bCs/>
                <w:vertAlign w:val="superscript"/>
              </w:rPr>
              <w:t>o</w:t>
            </w:r>
            <w:r w:rsidRPr="007B1664">
              <w:rPr>
                <w:rFonts w:ascii="Times New Roman" w:hAnsi="Times New Roman"/>
                <w:bCs/>
              </w:rPr>
              <w:t>, alínea d),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69258471" w14:textId="77777777">
        <w:tc>
          <w:tcPr>
            <w:tcW w:w="1129" w:type="dxa"/>
          </w:tcPr>
          <w:p w14:paraId="30353F2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C5C5F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Outras deduções</w:t>
            </w:r>
          </w:p>
          <w:p w14:paraId="0F48710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A soma de todas as outras deduções em </w:t>
            </w:r>
            <w:r w:rsidRPr="007B1664">
              <w:rPr>
                <w:rFonts w:ascii="Times New Roman" w:hAnsi="Times New Roman"/>
                <w:bCs/>
              </w:rPr>
              <w:t>conformidade com o artigo 56.</w:t>
            </w:r>
            <w:r w:rsidRPr="007B1664">
              <w:rPr>
                <w:rFonts w:ascii="Times New Roman" w:hAnsi="Times New Roman"/>
                <w:bCs/>
                <w:vertAlign w:val="superscript"/>
              </w:rPr>
              <w:t>o</w:t>
            </w:r>
            <w:r w:rsidRPr="007B1664">
              <w:rPr>
                <w:rFonts w:ascii="Times New Roman" w:hAnsi="Times New Roman"/>
                <w:bCs/>
              </w:rPr>
              <w:t xml:space="preserve"> do Regulamento (UE) n.</w:t>
            </w:r>
            <w:r w:rsidRPr="007B1664">
              <w:rPr>
                <w:rFonts w:ascii="Times New Roman" w:hAnsi="Times New Roman"/>
                <w:bCs/>
                <w:vertAlign w:val="superscript"/>
              </w:rPr>
              <w:t>o</w:t>
            </w:r>
            <w:r w:rsidRPr="007B1664">
              <w:rPr>
                <w:rFonts w:ascii="Times New Roman" w:hAnsi="Times New Roman"/>
                <w:bCs/>
              </w:rPr>
              <w:t xml:space="preserve"> 575/2013 que não estão incluídas em nenhuma das linhas 0340 a 0390 </w:t>
            </w:r>
            <w:r w:rsidRPr="007B1664">
              <w:rPr>
                <w:rFonts w:ascii="Times New Roman" w:hAnsi="Times New Roman"/>
                <w:bCs/>
                <w:i/>
              </w:rPr>
              <w:t>supra</w:t>
            </w:r>
          </w:p>
        </w:tc>
      </w:tr>
      <w:tr w:rsidR="000B1B99" w:rsidRPr="007B1664" w14:paraId="3270DC90" w14:textId="77777777">
        <w:tc>
          <w:tcPr>
            <w:tcW w:w="1129" w:type="dxa"/>
          </w:tcPr>
          <w:p w14:paraId="5F56CDE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25CB2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Fundos próprios adicionais de nível 1: Outros elementos de fundos próprios, deduções e ajustamentos</w:t>
            </w:r>
          </w:p>
          <w:p w14:paraId="64EF151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Esta linha deve inclui</w:t>
            </w:r>
            <w:r w:rsidRPr="007B1664">
              <w:rPr>
                <w:rFonts w:ascii="Times New Roman" w:hAnsi="Times New Roman"/>
                <w:bCs/>
              </w:rPr>
              <w:t>r a soma dos seguintes elementos, se aplicável:</w:t>
            </w:r>
          </w:p>
          <w:p w14:paraId="43082A15"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Ajustamentos transitórios devidos a instrumentos de FPA1 objeto de direitos adquiridos (artigo 483.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4 e 5, artigos 484.</w:t>
            </w:r>
            <w:r w:rsidRPr="007B1664">
              <w:rPr>
                <w:rFonts w:ascii="Times New Roman" w:hAnsi="Times New Roman"/>
                <w:bCs/>
                <w:vertAlign w:val="superscript"/>
              </w:rPr>
              <w:t>o</w:t>
            </w:r>
            <w:r w:rsidRPr="007B1664">
              <w:rPr>
                <w:rFonts w:ascii="Times New Roman" w:hAnsi="Times New Roman"/>
                <w:bCs/>
              </w:rPr>
              <w:t xml:space="preserve"> a 487.° e artigos 489.</w:t>
            </w:r>
            <w:r w:rsidRPr="007B1664">
              <w:rPr>
                <w:rFonts w:ascii="Times New Roman" w:hAnsi="Times New Roman"/>
                <w:bCs/>
                <w:vertAlign w:val="superscript"/>
              </w:rPr>
              <w:t>o</w:t>
            </w:r>
            <w:r w:rsidRPr="007B1664">
              <w:rPr>
                <w:rFonts w:ascii="Times New Roman" w:hAnsi="Times New Roman"/>
                <w:bCs/>
              </w:rPr>
              <w:t xml:space="preserve"> e 491.° do Regulamento (UE) n.</w:t>
            </w:r>
            <w:r w:rsidRPr="007B1664">
              <w:rPr>
                <w:rFonts w:ascii="Times New Roman" w:hAnsi="Times New Roman"/>
                <w:bCs/>
                <w:vertAlign w:val="superscript"/>
              </w:rPr>
              <w:t>o</w:t>
            </w:r>
            <w:r w:rsidRPr="007B1664">
              <w:rPr>
                <w:rFonts w:ascii="Times New Roman" w:hAnsi="Times New Roman"/>
                <w:bCs/>
              </w:rPr>
              <w:t> 575/2013).</w:t>
            </w:r>
          </w:p>
          <w:p w14:paraId="2B43399A"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Instrumentos emitidos por filiais reconhecidos nos FPA1 (artigos 83.</w:t>
            </w:r>
            <w:r w:rsidRPr="007B1664">
              <w:rPr>
                <w:rFonts w:ascii="Times New Roman" w:hAnsi="Times New Roman"/>
                <w:bCs/>
                <w:vertAlign w:val="superscript"/>
              </w:rPr>
              <w:t>o</w:t>
            </w:r>
            <w:r w:rsidRPr="007B1664">
              <w:rPr>
                <w:rFonts w:ascii="Times New Roman" w:hAnsi="Times New Roman"/>
                <w:bCs/>
              </w:rPr>
              <w:t>, 85.° e 86.° do Regulamento (UE) n.</w:t>
            </w:r>
            <w:r w:rsidRPr="007B1664">
              <w:rPr>
                <w:rFonts w:ascii="Times New Roman" w:hAnsi="Times New Roman"/>
                <w:bCs/>
                <w:vertAlign w:val="superscript"/>
              </w:rPr>
              <w:t>o</w:t>
            </w:r>
            <w:r w:rsidRPr="007B1664">
              <w:rPr>
                <w:rFonts w:ascii="Times New Roman" w:hAnsi="Times New Roman"/>
                <w:bCs/>
              </w:rPr>
              <w:t> 575/2013): Soma de todos os montantes de FP1 elegíveis das filiais incluídos nos FPA1 consolidados, inc</w:t>
            </w:r>
            <w:r w:rsidRPr="007B1664">
              <w:rPr>
                <w:rFonts w:ascii="Times New Roman" w:hAnsi="Times New Roman"/>
                <w:bCs/>
              </w:rPr>
              <w:t>luindo também os fundos próprios emitidos por uma entidade com objeto específico (artigo 83.</w:t>
            </w:r>
            <w:r w:rsidRPr="007B1664">
              <w:rPr>
                <w:rFonts w:ascii="Times New Roman" w:hAnsi="Times New Roman"/>
                <w:bCs/>
                <w:vertAlign w:val="superscript"/>
              </w:rPr>
              <w:t>o</w:t>
            </w:r>
            <w:r w:rsidRPr="007B1664">
              <w:rPr>
                <w:rFonts w:ascii="Times New Roman" w:hAnsi="Times New Roman"/>
                <w:bCs/>
              </w:rPr>
              <w:t xml:space="preserve"> do Regulamento (UE) n.</w:t>
            </w:r>
            <w:r w:rsidRPr="007B1664">
              <w:rPr>
                <w:rFonts w:ascii="Times New Roman" w:hAnsi="Times New Roman"/>
                <w:bCs/>
                <w:vertAlign w:val="superscript"/>
              </w:rPr>
              <w:t>o</w:t>
            </w:r>
            <w:r w:rsidRPr="007B1664">
              <w:rPr>
                <w:rFonts w:ascii="Times New Roman" w:hAnsi="Times New Roman"/>
                <w:bCs/>
              </w:rPr>
              <w:t> 575/2013).</w:t>
            </w:r>
          </w:p>
          <w:p w14:paraId="4D0597D8"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Ajustamentos transitórios devidos ao reconhecimento adicional nos FPA1 de instrumentos emitidos por filiais (artigo 480.</w:t>
            </w:r>
            <w:r w:rsidRPr="007B1664">
              <w:rPr>
                <w:rFonts w:ascii="Times New Roman" w:hAnsi="Times New Roman"/>
                <w:bCs/>
                <w:vertAlign w:val="superscript"/>
              </w:rPr>
              <w:t>o</w:t>
            </w:r>
            <w:r w:rsidRPr="007B1664">
              <w:rPr>
                <w:rFonts w:ascii="Times New Roman" w:hAnsi="Times New Roman"/>
                <w:bCs/>
              </w:rPr>
              <w:t xml:space="preserve"> do </w:t>
            </w:r>
            <w:r w:rsidRPr="007B1664">
              <w:rPr>
                <w:rFonts w:ascii="Times New Roman" w:hAnsi="Times New Roman"/>
                <w:bCs/>
              </w:rPr>
              <w:t>Regulamento (UE) n.</w:t>
            </w:r>
            <w:r w:rsidRPr="007B1664">
              <w:rPr>
                <w:rFonts w:ascii="Times New Roman" w:hAnsi="Times New Roman"/>
                <w:bCs/>
                <w:vertAlign w:val="superscript"/>
              </w:rPr>
              <w:t>o</w:t>
            </w:r>
            <w:r w:rsidRPr="007B1664">
              <w:rPr>
                <w:rFonts w:ascii="Times New Roman" w:hAnsi="Times New Roman"/>
                <w:bCs/>
              </w:rPr>
              <w:t> 575/2013); ajustamentos aos FP1 elegíveis incluídos nos FPA1 consolidados devido a disposições transitórias.</w:t>
            </w:r>
          </w:p>
          <w:p w14:paraId="6A9F1D92"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Outros ajustamentos transitórios dos FPA1 (artigos 472.</w:t>
            </w:r>
            <w:r w:rsidRPr="007B1664">
              <w:rPr>
                <w:rFonts w:ascii="Times New Roman" w:hAnsi="Times New Roman"/>
                <w:bCs/>
                <w:vertAlign w:val="superscript"/>
              </w:rPr>
              <w:t>o</w:t>
            </w:r>
            <w:r w:rsidRPr="007B1664">
              <w:rPr>
                <w:rFonts w:ascii="Times New Roman" w:hAnsi="Times New Roman"/>
                <w:bCs/>
              </w:rPr>
              <w:t>, 473.°-A, 474.°, 475.°, 478.° e 481.° do Regulamento (UE) n.</w:t>
            </w:r>
            <w:r w:rsidRPr="007B1664">
              <w:rPr>
                <w:rFonts w:ascii="Times New Roman" w:hAnsi="Times New Roman"/>
                <w:bCs/>
                <w:vertAlign w:val="superscript"/>
              </w:rPr>
              <w:t>o</w:t>
            </w:r>
            <w:r w:rsidRPr="007B1664">
              <w:rPr>
                <w:rFonts w:ascii="Times New Roman" w:hAnsi="Times New Roman"/>
                <w:bCs/>
              </w:rPr>
              <w:t> 575/2</w:t>
            </w:r>
            <w:r w:rsidRPr="007B1664">
              <w:rPr>
                <w:rFonts w:ascii="Times New Roman" w:hAnsi="Times New Roman"/>
                <w:bCs/>
              </w:rPr>
              <w:t>013): ajustamentos das deduções devidos a disposições transitórias.</w:t>
            </w:r>
          </w:p>
          <w:p w14:paraId="753E5DA7"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Excesso de dedução de elementos dos FPA1 relativamente aos FPA1, deduzido aos FPP1 nos termos do artigo 36.</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j), do Regulamento (UE) n.</w:t>
            </w:r>
            <w:r w:rsidRPr="007B1664">
              <w:rPr>
                <w:rFonts w:ascii="Times New Roman" w:hAnsi="Times New Roman"/>
                <w:bCs/>
                <w:vertAlign w:val="superscript"/>
              </w:rPr>
              <w:t>o</w:t>
            </w:r>
            <w:r w:rsidRPr="007B1664">
              <w:rPr>
                <w:rFonts w:ascii="Times New Roman" w:hAnsi="Times New Roman"/>
                <w:bCs/>
              </w:rPr>
              <w:t> 575/2013: Os fundos próprios adici</w:t>
            </w:r>
            <w:r w:rsidRPr="007B1664">
              <w:rPr>
                <w:rFonts w:ascii="Times New Roman" w:hAnsi="Times New Roman"/>
                <w:bCs/>
              </w:rPr>
              <w:t>onais de nível 1 não podem ser negativos, mas é possível que as deduções aos elementos dos FPA1 excedam o montante dos elementos dos FPA1 disponíveis. Quando tal acontece, este elemento representa o montante necessário para aumentar o montante comunicado n</w:t>
            </w:r>
            <w:r w:rsidRPr="007B1664">
              <w:rPr>
                <w:rFonts w:ascii="Times New Roman" w:hAnsi="Times New Roman"/>
                <w:bCs/>
              </w:rPr>
              <w:t>a linha 0300 para zero e é igual ao inverso do excesso de deduções aos elementos dos FPA1 em relação aos FPA1 incluídos, entre outras deduções, na linha 0280.</w:t>
            </w:r>
          </w:p>
          <w:p w14:paraId="749BB3EB"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 xml:space="preserve">Outros elementos de FPA1 ou deduções a um elemento de FPA1 que não possam ser afetados a uma </w:t>
            </w:r>
            <w:r w:rsidRPr="007B1664">
              <w:rPr>
                <w:rFonts w:ascii="Times New Roman" w:hAnsi="Times New Roman"/>
                <w:bCs/>
              </w:rPr>
              <w:t>das linhas 0310 a 0400.</w:t>
            </w:r>
          </w:p>
          <w:p w14:paraId="1452401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Esta linha não deve ser utilizada para incluir elementos ou deduções de fundos próprios não abrangidos pelo Regulamento (UE) 2019/2033 ou pelo Regulamento (UE) n.</w:t>
            </w:r>
            <w:r w:rsidRPr="007B1664">
              <w:rPr>
                <w:rFonts w:ascii="Times New Roman" w:hAnsi="Times New Roman"/>
                <w:bCs/>
                <w:vertAlign w:val="superscript"/>
              </w:rPr>
              <w:t>o</w:t>
            </w:r>
            <w:r w:rsidRPr="007B1664">
              <w:rPr>
                <w:rFonts w:ascii="Times New Roman" w:hAnsi="Times New Roman"/>
                <w:bCs/>
              </w:rPr>
              <w:t> 575/2013 no cálculo dos rácios de solvabilidade.</w:t>
            </w:r>
          </w:p>
        </w:tc>
      </w:tr>
      <w:tr w:rsidR="000B1B99" w:rsidRPr="007B1664" w14:paraId="12CCEF16" w14:textId="77777777">
        <w:tc>
          <w:tcPr>
            <w:tcW w:w="1129" w:type="dxa"/>
          </w:tcPr>
          <w:p w14:paraId="2ECA5AF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410FA6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FUNDOS PRÓPRI</w:t>
            </w:r>
            <w:r w:rsidRPr="007B1664">
              <w:rPr>
                <w:rFonts w:ascii="Times New Roman" w:hAnsi="Times New Roman"/>
                <w:b/>
                <w:bCs/>
                <w:u w:val="single"/>
              </w:rPr>
              <w:t>OS DE NÍVEL 2</w:t>
            </w:r>
          </w:p>
          <w:p w14:paraId="3A63AD4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1CFBE898" w14:textId="77777777" w:rsidR="000B1B99" w:rsidRPr="007B1664" w:rsidRDefault="007B1664">
            <w:pPr>
              <w:spacing w:after="120" w:line="240" w:lineRule="auto"/>
              <w:jc w:val="both"/>
              <w:rPr>
                <w:rStyle w:val="FormatvorlageInstructionsTabelleText"/>
                <w:rFonts w:ascii="Times New Roman" w:hAnsi="Times New Roman"/>
                <w:sz w:val="22"/>
              </w:rPr>
            </w:pPr>
            <w:r w:rsidRPr="007B1664">
              <w:rPr>
                <w:rStyle w:val="FormatvorlageInstructionsTabelleText"/>
                <w:rFonts w:ascii="Times New Roman" w:hAnsi="Times New Roman"/>
                <w:sz w:val="22"/>
              </w:rPr>
              <w:lastRenderedPageBreak/>
              <w:t>Artigo 71.</w:t>
            </w:r>
            <w:r w:rsidRPr="007B1664">
              <w:rPr>
                <w:rStyle w:val="FormatvorlageInstructionsTabelleText"/>
                <w:rFonts w:ascii="Times New Roman" w:hAnsi="Times New Roman"/>
                <w:sz w:val="22"/>
                <w:vertAlign w:val="superscript"/>
              </w:rPr>
              <w:t>o</w:t>
            </w:r>
            <w:r w:rsidRPr="007B1664">
              <w:rPr>
                <w:rFonts w:ascii="Times New Roman" w:hAnsi="Times New Roman"/>
              </w:rPr>
              <w:t xml:space="preserve"> do </w:t>
            </w:r>
            <w:r w:rsidRPr="007B1664">
              <w:rPr>
                <w:rStyle w:val="FormatvorlageInstructionsTabelleText"/>
                <w:rFonts w:ascii="Times New Roman" w:hAnsi="Times New Roman"/>
                <w:sz w:val="22"/>
              </w:rPr>
              <w:t>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p w14:paraId="0716DA9A" w14:textId="77777777" w:rsidR="000B1B99" w:rsidRPr="007B1664" w:rsidRDefault="007B1664">
            <w:pPr>
              <w:pStyle w:val="CommentText"/>
              <w:rPr>
                <w:sz w:val="22"/>
                <w:szCs w:val="22"/>
              </w:rPr>
            </w:pPr>
            <w:r w:rsidRPr="007B1664">
              <w:rPr>
                <w:rFonts w:ascii="Times New Roman" w:hAnsi="Times New Roman"/>
                <w:bCs/>
                <w:sz w:val="22"/>
                <w:szCs w:val="22"/>
              </w:rPr>
              <w:t>Deve ser comunicada a soma total das linhas 0430 a 0450 e 0520.</w:t>
            </w:r>
          </w:p>
        </w:tc>
      </w:tr>
      <w:tr w:rsidR="000B1B99" w:rsidRPr="007B1664" w14:paraId="586B8E7A" w14:textId="77777777">
        <w:tc>
          <w:tcPr>
            <w:tcW w:w="1129" w:type="dxa"/>
          </w:tcPr>
          <w:p w14:paraId="5AFCC7C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8809C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Instrumentos de fundos próprios integralmente realizados e emitidos </w:t>
            </w:r>
            <w:r w:rsidRPr="007B1664">
              <w:rPr>
                <w:rFonts w:ascii="Times New Roman" w:hAnsi="Times New Roman"/>
                <w:b/>
                <w:bCs/>
                <w:u w:val="single"/>
              </w:rPr>
              <w:t>diretamente</w:t>
            </w:r>
          </w:p>
          <w:p w14:paraId="33EB3EB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62D24AF2" w14:textId="77777777" w:rsidR="000B1B99" w:rsidRPr="007B1664" w:rsidRDefault="007B1664">
            <w:pPr>
              <w:pStyle w:val="InstructionsText"/>
              <w:rPr>
                <w:rStyle w:val="FormatvorlageInstructionsTabelleText"/>
                <w:rFonts w:ascii="Times New Roman" w:eastAsiaTheme="minorHAnsi" w:hAnsi="Times New Roman"/>
                <w:bCs/>
                <w:sz w:val="22"/>
                <w:szCs w:val="22"/>
              </w:rPr>
            </w:pPr>
            <w:r w:rsidRPr="007B1664">
              <w:rPr>
                <w:rStyle w:val="FormatvorlageInstructionsTabelleText"/>
                <w:rFonts w:ascii="Times New Roman" w:hAnsi="Times New Roman"/>
                <w:sz w:val="22"/>
                <w:szCs w:val="22"/>
              </w:rPr>
              <w:t>Artigo 62.</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alínea a), e artigos 63.</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xml:space="preserve"> e 65.°</w:t>
            </w:r>
            <w:r w:rsidRPr="007B1664">
              <w:rPr>
                <w:sz w:val="22"/>
                <w:szCs w:val="22"/>
              </w:rPr>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38921CE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O montante a comunicar não pode incluir os prémios de emissão de ações relacionados com os instrumentos</w:t>
            </w:r>
            <w:r w:rsidRPr="007B1664">
              <w:rPr>
                <w:rStyle w:val="FormatvorlageInstructionsTabelleText"/>
                <w:rFonts w:ascii="Times New Roman" w:hAnsi="Times New Roman"/>
                <w:sz w:val="22"/>
              </w:rPr>
              <w:t>.</w:t>
            </w:r>
          </w:p>
        </w:tc>
      </w:tr>
      <w:tr w:rsidR="000B1B99" w:rsidRPr="007B1664" w14:paraId="7FE9A428" w14:textId="77777777">
        <w:tc>
          <w:tcPr>
            <w:tcW w:w="1129" w:type="dxa"/>
          </w:tcPr>
          <w:p w14:paraId="3145BFE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DEE13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Prémios de emissão</w:t>
            </w:r>
          </w:p>
          <w:p w14:paraId="107404C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4DE92149"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Artigo 62.</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alínea b), e artigo 65.</w:t>
            </w:r>
            <w:r w:rsidRPr="007B1664">
              <w:rPr>
                <w:rStyle w:val="FormatvorlageInstructionsTabelleText"/>
                <w:rFonts w:ascii="Times New Roman" w:hAnsi="Times New Roman"/>
                <w:sz w:val="22"/>
                <w:szCs w:val="22"/>
                <w:vertAlign w:val="superscript"/>
              </w:rPr>
              <w:t>o</w:t>
            </w:r>
            <w:r w:rsidRPr="007B1664">
              <w:rPr>
                <w:sz w:val="22"/>
                <w:szCs w:val="22"/>
              </w:rPr>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03AECE2E"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 xml:space="preserve">«Prémios de emissão de ações» tem a mesma aceção que na norma de contabilidade </w:t>
            </w:r>
            <w:r w:rsidRPr="007B1664">
              <w:rPr>
                <w:rStyle w:val="FormatvorlageInstructionsTabelleText"/>
                <w:rFonts w:ascii="Times New Roman" w:hAnsi="Times New Roman"/>
                <w:sz w:val="22"/>
                <w:szCs w:val="22"/>
              </w:rPr>
              <w:t>aplicável.</w:t>
            </w:r>
          </w:p>
          <w:p w14:paraId="64287A53" w14:textId="77777777" w:rsidR="000B1B99" w:rsidRPr="007B1664" w:rsidRDefault="007B1664">
            <w:pPr>
              <w:pStyle w:val="InstructionsText"/>
              <w:rPr>
                <w:sz w:val="22"/>
                <w:szCs w:val="22"/>
              </w:rPr>
            </w:pPr>
            <w:r w:rsidRPr="007B1664">
              <w:rPr>
                <w:rStyle w:val="FormatvorlageInstructionsTabelleText"/>
                <w:rFonts w:ascii="Times New Roman" w:hAnsi="Times New Roman"/>
                <w:sz w:val="22"/>
                <w:szCs w:val="22"/>
              </w:rPr>
              <w:t>O montante a comunicar neste elemento deve ser a parte relacionada com os «instrumentos de fundos próprios realizados».</w:t>
            </w:r>
          </w:p>
        </w:tc>
      </w:tr>
      <w:tr w:rsidR="000B1B99" w:rsidRPr="007B1664" w14:paraId="1B51F82E" w14:textId="77777777">
        <w:tc>
          <w:tcPr>
            <w:tcW w:w="1129" w:type="dxa"/>
          </w:tcPr>
          <w:p w14:paraId="414B82D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E7A37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TOTAL DAS DEDUÇÕES AOS FUNDOS PRÓPRIOS DE NÍVEL 2</w:t>
            </w:r>
          </w:p>
          <w:p w14:paraId="3976BD8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Artigo 66.</w:t>
            </w:r>
            <w:r w:rsidRPr="007B1664">
              <w:rPr>
                <w:rFonts w:ascii="Times New Roman" w:hAnsi="Times New Roman"/>
                <w:vertAlign w:val="superscript"/>
              </w:rPr>
              <w:t>o</w:t>
            </w:r>
            <w:r w:rsidRPr="007B1664">
              <w:rPr>
                <w:rFonts w:ascii="Times New Roman" w:hAnsi="Times New Roman"/>
              </w:rPr>
              <w:t xml:space="preserve"> do Regulamento (UE) n.</w:t>
            </w:r>
            <w:r w:rsidRPr="007B1664">
              <w:rPr>
                <w:rFonts w:ascii="Times New Roman" w:hAnsi="Times New Roman"/>
                <w:vertAlign w:val="superscript"/>
              </w:rPr>
              <w:t>o</w:t>
            </w:r>
            <w:r w:rsidRPr="007B1664">
              <w:rPr>
                <w:rFonts w:ascii="Times New Roman" w:hAnsi="Times New Roman"/>
              </w:rPr>
              <w:t> 575/2013.</w:t>
            </w:r>
          </w:p>
        </w:tc>
      </w:tr>
      <w:tr w:rsidR="000B1B99" w:rsidRPr="007B1664" w14:paraId="008E3E46" w14:textId="77777777">
        <w:tc>
          <w:tcPr>
            <w:tcW w:w="1129" w:type="dxa"/>
          </w:tcPr>
          <w:p w14:paraId="32AAB42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9CE4C4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Instrumen</w:t>
            </w:r>
            <w:r w:rsidRPr="007B1664">
              <w:rPr>
                <w:rFonts w:ascii="Times New Roman" w:hAnsi="Times New Roman"/>
                <w:b/>
                <w:bCs/>
                <w:u w:val="single"/>
              </w:rPr>
              <w:t>tos próprios de FP2</w:t>
            </w:r>
          </w:p>
          <w:p w14:paraId="5A503EC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5384C749"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Artigo 63.</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alínea b), subalínea i), artigo 66.</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alínea a), e artigo 67.</w:t>
            </w:r>
            <w:r w:rsidRPr="007B1664">
              <w:rPr>
                <w:rStyle w:val="FormatvorlageInstructionsTabelleText"/>
                <w:rFonts w:ascii="Times New Roman" w:hAnsi="Times New Roman"/>
                <w:sz w:val="22"/>
                <w:szCs w:val="22"/>
                <w:vertAlign w:val="superscript"/>
              </w:rPr>
              <w:t>o</w:t>
            </w:r>
            <w:r w:rsidRPr="007B1664">
              <w:rPr>
                <w:sz w:val="22"/>
                <w:szCs w:val="22"/>
              </w:rPr>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27DE0C72"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 xml:space="preserve">Instrumentos próprios de FP2 detidos pela instituição ou </w:t>
            </w:r>
            <w:r w:rsidRPr="007B1664">
              <w:rPr>
                <w:rStyle w:val="FormatvorlageInstructionsTabelleText"/>
                <w:rFonts w:ascii="Times New Roman" w:hAnsi="Times New Roman"/>
                <w:sz w:val="22"/>
                <w:szCs w:val="22"/>
              </w:rPr>
              <w:t>grupo que comunica informações à data de referência. Sob reserva das exceções previstas no artigo 67.</w:t>
            </w:r>
            <w:r w:rsidRPr="007B1664">
              <w:rPr>
                <w:rStyle w:val="FormatvorlageInstructionsTabelleText"/>
                <w:rFonts w:ascii="Times New Roman" w:hAnsi="Times New Roman"/>
                <w:sz w:val="22"/>
                <w:szCs w:val="22"/>
                <w:vertAlign w:val="superscript"/>
              </w:rPr>
              <w:t>o</w:t>
            </w:r>
            <w:r w:rsidRPr="007B1664">
              <w:rPr>
                <w:sz w:val="22"/>
                <w:szCs w:val="22"/>
              </w:rPr>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0C902B7D"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As detenções de ações incluídas em «Instrumentos de fundos próprios não elegíveis» não podem ser comunicadas nesta linh</w:t>
            </w:r>
            <w:r w:rsidRPr="007B1664">
              <w:rPr>
                <w:rStyle w:val="FormatvorlageInstructionsTabelleText"/>
                <w:rFonts w:ascii="Times New Roman" w:hAnsi="Times New Roman"/>
                <w:sz w:val="22"/>
                <w:szCs w:val="22"/>
              </w:rPr>
              <w:t>a.</w:t>
            </w:r>
          </w:p>
          <w:p w14:paraId="11E1051F" w14:textId="77777777" w:rsidR="000B1B99" w:rsidRPr="007B1664" w:rsidRDefault="007B1664">
            <w:pPr>
              <w:pStyle w:val="InstructionsText"/>
              <w:rPr>
                <w:sz w:val="22"/>
                <w:szCs w:val="22"/>
              </w:rPr>
            </w:pPr>
            <w:r w:rsidRPr="007B1664">
              <w:rPr>
                <w:rStyle w:val="FormatvorlageInstructionsTabelleText"/>
                <w:rFonts w:ascii="Times New Roman" w:hAnsi="Times New Roman"/>
                <w:sz w:val="22"/>
                <w:szCs w:val="22"/>
              </w:rPr>
              <w:t>O montante a comunicar deve incluir os prémios de emissão de ações relacionados com as ações próprias.</w:t>
            </w:r>
          </w:p>
        </w:tc>
      </w:tr>
      <w:tr w:rsidR="000B1B99" w:rsidRPr="007B1664" w14:paraId="2F337C0F" w14:textId="77777777">
        <w:tc>
          <w:tcPr>
            <w:tcW w:w="1129" w:type="dxa"/>
          </w:tcPr>
          <w:p w14:paraId="6BF7A5E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A4315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Detenções diretas de instrumentos de FP2</w:t>
            </w:r>
          </w:p>
          <w:p w14:paraId="34049777" w14:textId="77777777" w:rsidR="000B1B99" w:rsidRPr="007B1664" w:rsidRDefault="007B1664">
            <w:pPr>
              <w:pStyle w:val="InstructionsText"/>
              <w:rPr>
                <w:sz w:val="22"/>
                <w:szCs w:val="22"/>
              </w:rPr>
            </w:pPr>
            <w:r w:rsidRPr="007B1664">
              <w:rPr>
                <w:rStyle w:val="FormatvorlageInstructionsTabelleText"/>
                <w:rFonts w:ascii="Times New Roman" w:hAnsi="Times New Roman"/>
                <w:sz w:val="22"/>
                <w:szCs w:val="22"/>
              </w:rPr>
              <w:t>Artigo 63.</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alínea b), artigo 66.</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alínea a), e artigo 67.</w:t>
            </w:r>
            <w:r w:rsidRPr="007B1664">
              <w:rPr>
                <w:rStyle w:val="FormatvorlageInstructionsTabelleText"/>
                <w:rFonts w:ascii="Times New Roman" w:hAnsi="Times New Roman"/>
                <w:sz w:val="22"/>
                <w:szCs w:val="22"/>
                <w:vertAlign w:val="superscript"/>
              </w:rPr>
              <w:t>o</w:t>
            </w:r>
            <w:r w:rsidRPr="007B1664">
              <w:rPr>
                <w:sz w:val="22"/>
                <w:szCs w:val="22"/>
              </w:rPr>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tc>
      </w:tr>
      <w:tr w:rsidR="000B1B99" w:rsidRPr="007B1664" w14:paraId="09B7F365" w14:textId="77777777">
        <w:tc>
          <w:tcPr>
            <w:tcW w:w="1129" w:type="dxa"/>
          </w:tcPr>
          <w:p w14:paraId="652B1E6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39E57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Detenções indiretas de instrumentos de FP2</w:t>
            </w:r>
          </w:p>
          <w:p w14:paraId="4224680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Artigo 4.</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ponto 114, artigo 63.</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alínea b), artigo 66.</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alínea a), e artigo 67.</w:t>
            </w:r>
            <w:r w:rsidRPr="007B1664">
              <w:rPr>
                <w:rStyle w:val="FormatvorlageInstructionsTabelleText"/>
                <w:rFonts w:ascii="Times New Roman" w:hAnsi="Times New Roman"/>
                <w:sz w:val="22"/>
                <w:vertAlign w:val="superscript"/>
              </w:rPr>
              <w:t>o</w:t>
            </w:r>
            <w:r w:rsidRPr="007B1664">
              <w:rPr>
                <w:rFonts w:ascii="Times New Roman" w:hAnsi="Times New Roman"/>
              </w:rPr>
              <w:t xml:space="preserve"> do </w:t>
            </w:r>
            <w:r w:rsidRPr="007B1664">
              <w:rPr>
                <w:rStyle w:val="FormatvorlageInstructionsTabelleText"/>
                <w:rFonts w:ascii="Times New Roman" w:hAnsi="Times New Roman"/>
                <w:sz w:val="22"/>
              </w:rPr>
              <w:t>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tc>
      </w:tr>
      <w:tr w:rsidR="000B1B99" w:rsidRPr="007B1664" w14:paraId="7C5FAD4A" w14:textId="77777777">
        <w:tc>
          <w:tcPr>
            <w:tcW w:w="1129" w:type="dxa"/>
          </w:tcPr>
          <w:p w14:paraId="7101202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33BC71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Detenções sintéticas de instrumentos de FP2</w:t>
            </w:r>
          </w:p>
          <w:p w14:paraId="3752BE6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Artigo 4.</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w:t>
            </w:r>
            <w:r w:rsidRPr="007B1664">
              <w:rPr>
                <w:rStyle w:val="FormatvorlageInstructionsTabelleText"/>
                <w:rFonts w:ascii="Times New Roman" w:hAnsi="Times New Roman"/>
                <w:sz w:val="22"/>
              </w:rPr>
              <w:t xml:space="preserv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ponto 126, artigo 63.</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alínea b), artigo 66.</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alínea a), e artigo 67.</w:t>
            </w:r>
            <w:r w:rsidRPr="007B1664">
              <w:rPr>
                <w:rStyle w:val="FormatvorlageInstructionsTabelleText"/>
                <w:rFonts w:ascii="Times New Roman" w:hAnsi="Times New Roman"/>
                <w:sz w:val="22"/>
                <w:vertAlign w:val="superscript"/>
              </w:rPr>
              <w:t>o</w:t>
            </w:r>
            <w:r w:rsidRPr="007B1664">
              <w:rPr>
                <w:rFonts w:ascii="Times New Roman" w:hAnsi="Times New Roman"/>
              </w:rPr>
              <w:t xml:space="preserve"> do </w:t>
            </w:r>
            <w:r w:rsidRPr="007B1664">
              <w:rPr>
                <w:rStyle w:val="FormatvorlageInstructionsTabelleText"/>
                <w:rFonts w:ascii="Times New Roman" w:hAnsi="Times New Roman"/>
                <w:sz w:val="22"/>
              </w:rPr>
              <w:t>Regulamento (UE)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w:t>
            </w:r>
          </w:p>
        </w:tc>
      </w:tr>
      <w:tr w:rsidR="000B1B99" w:rsidRPr="007B1664" w14:paraId="7F8D86C7" w14:textId="77777777">
        <w:tc>
          <w:tcPr>
            <w:tcW w:w="1129" w:type="dxa"/>
            <w:tcBorders>
              <w:bottom w:val="single" w:sz="4" w:space="0" w:color="auto"/>
            </w:tcBorders>
          </w:tcPr>
          <w:p w14:paraId="7D87E65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9C9E8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 Instrumentos de FP2 de entidades do setor financeiro nas quais a empresa de investimento não tem um investimento </w:t>
            </w:r>
            <w:r w:rsidRPr="007B1664">
              <w:rPr>
                <w:rFonts w:ascii="Times New Roman" w:hAnsi="Times New Roman"/>
                <w:b/>
                <w:bCs/>
                <w:u w:val="single"/>
              </w:rPr>
              <w:t>significativo</w:t>
            </w:r>
          </w:p>
          <w:p w14:paraId="507B664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c), do Regulamento (UE) 2019/2033.</w:t>
            </w:r>
          </w:p>
          <w:p w14:paraId="2910AB6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66.</w:t>
            </w:r>
            <w:r w:rsidRPr="007B1664">
              <w:rPr>
                <w:rFonts w:ascii="Times New Roman" w:hAnsi="Times New Roman"/>
                <w:bCs/>
                <w:vertAlign w:val="superscript"/>
              </w:rPr>
              <w:t>o</w:t>
            </w:r>
            <w:r w:rsidRPr="007B1664">
              <w:rPr>
                <w:rFonts w:ascii="Times New Roman" w:hAnsi="Times New Roman"/>
                <w:bCs/>
              </w:rPr>
              <w:t>, alínea c),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1A2E4681" w14:textId="77777777">
        <w:tc>
          <w:tcPr>
            <w:tcW w:w="1129" w:type="dxa"/>
            <w:tcBorders>
              <w:top w:val="single" w:sz="4" w:space="0" w:color="auto"/>
              <w:bottom w:val="single" w:sz="4" w:space="0" w:color="auto"/>
            </w:tcBorders>
          </w:tcPr>
          <w:p w14:paraId="73788F1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316E0B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 Instrumentos de FP2 de entidades do setor financeiro nas quais a empresa de investimento tem um </w:t>
            </w:r>
            <w:r w:rsidRPr="007B1664">
              <w:rPr>
                <w:rFonts w:ascii="Times New Roman" w:hAnsi="Times New Roman"/>
                <w:b/>
                <w:bCs/>
                <w:u w:val="single"/>
              </w:rPr>
              <w:t>investimento significativo</w:t>
            </w:r>
          </w:p>
          <w:p w14:paraId="4FB89C15" w14:textId="77777777" w:rsidR="000B1B99" w:rsidRPr="007B1664" w:rsidRDefault="007B1664">
            <w:pPr>
              <w:pStyle w:val="InstructionsText"/>
              <w:rPr>
                <w:rStyle w:val="FormatvorlageInstructionsTabelleText"/>
                <w:rFonts w:ascii="Times New Roman" w:hAnsi="Times New Roman"/>
                <w:sz w:val="22"/>
                <w:szCs w:val="22"/>
              </w:rPr>
            </w:pPr>
            <w:r w:rsidRPr="007B1664">
              <w:rPr>
                <w:rStyle w:val="FormatvorlageInstructionsTabelleText"/>
                <w:rFonts w:ascii="Times New Roman" w:hAnsi="Times New Roman"/>
                <w:sz w:val="22"/>
                <w:szCs w:val="22"/>
              </w:rPr>
              <w:t>Artigo 4.</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1, ponto 27, artigo 66.</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alínea d), e artigos 68.</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69.° e 79.°</w:t>
            </w:r>
            <w:r w:rsidRPr="007B1664">
              <w:rPr>
                <w:sz w:val="22"/>
                <w:szCs w:val="22"/>
              </w:rPr>
              <w:t xml:space="preserve"> do </w:t>
            </w:r>
            <w:r w:rsidRPr="007B1664">
              <w:rPr>
                <w:rStyle w:val="FormatvorlageInstructionsTabelleText"/>
                <w:rFonts w:ascii="Times New Roman" w:hAnsi="Times New Roman"/>
                <w:sz w:val="22"/>
                <w:szCs w:val="22"/>
              </w:rPr>
              <w:t>Regulamento (UE) n.</w:t>
            </w:r>
            <w:r w:rsidRPr="007B1664">
              <w:rPr>
                <w:rStyle w:val="FormatvorlageInstructionsTabelleText"/>
                <w:rFonts w:ascii="Times New Roman" w:hAnsi="Times New Roman"/>
                <w:sz w:val="22"/>
                <w:szCs w:val="22"/>
                <w:vertAlign w:val="superscript"/>
              </w:rPr>
              <w:t>o</w:t>
            </w:r>
            <w:r w:rsidRPr="007B1664">
              <w:rPr>
                <w:rStyle w:val="FormatvorlageInstructionsTabelleText"/>
                <w:rFonts w:ascii="Times New Roman" w:hAnsi="Times New Roman"/>
                <w:sz w:val="22"/>
                <w:szCs w:val="22"/>
              </w:rPr>
              <w:t> 575/2013.</w:t>
            </w:r>
          </w:p>
          <w:p w14:paraId="7848C15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lastRenderedPageBreak/>
              <w:t>Os instrumentos de FP2 de entidades do setor financeiro (na aceção do artigo 4.</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1, ponto 27,</w:t>
            </w:r>
            <w:r w:rsidRPr="007B1664">
              <w:rPr>
                <w:rFonts w:ascii="Times New Roman" w:hAnsi="Times New Roman"/>
              </w:rPr>
              <w:t xml:space="preserve"> do </w:t>
            </w:r>
            <w:r w:rsidRPr="007B1664">
              <w:rPr>
                <w:rStyle w:val="FormatvorlageInstructionsTabelleText"/>
                <w:rFonts w:ascii="Times New Roman" w:hAnsi="Times New Roman"/>
                <w:sz w:val="22"/>
              </w:rPr>
              <w:t xml:space="preserve">Regulamento </w:t>
            </w:r>
            <w:r w:rsidRPr="007B1664">
              <w:rPr>
                <w:rStyle w:val="FormatvorlageInstructionsTabelleText"/>
                <w:rFonts w:ascii="Times New Roman" w:hAnsi="Times New Roman"/>
                <w:sz w:val="22"/>
              </w:rPr>
              <w:t>(UE) n.</w:t>
            </w:r>
            <w:r w:rsidRPr="007B1664">
              <w:rPr>
                <w:rStyle w:val="FormatvorlageInstructionsTabelleText"/>
                <w:rFonts w:ascii="Times New Roman" w:hAnsi="Times New Roman"/>
                <w:sz w:val="22"/>
                <w:vertAlign w:val="superscript"/>
              </w:rPr>
              <w:t>o</w:t>
            </w:r>
            <w:r w:rsidRPr="007B1664">
              <w:rPr>
                <w:rStyle w:val="FormatvorlageInstructionsTabelleText"/>
                <w:rFonts w:ascii="Times New Roman" w:hAnsi="Times New Roman"/>
                <w:sz w:val="22"/>
              </w:rPr>
              <w:t> 575/2013) detidos pela instituição, nos casos em que a empresa de investimento tenha um investimento significativo nessas entidades, devem ser integralmente deduzidos.</w:t>
            </w:r>
          </w:p>
        </w:tc>
      </w:tr>
      <w:tr w:rsidR="000B1B99" w:rsidRPr="007B1664" w14:paraId="39C47715" w14:textId="77777777">
        <w:tc>
          <w:tcPr>
            <w:tcW w:w="1129" w:type="dxa"/>
            <w:tcBorders>
              <w:top w:val="single" w:sz="4" w:space="0" w:color="auto"/>
              <w:bottom w:val="single" w:sz="4" w:space="0" w:color="auto"/>
            </w:tcBorders>
          </w:tcPr>
          <w:p w14:paraId="7C538E5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C878FE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Fundos próprios de nível 2: Outros elementos de fundos próprios, </w:t>
            </w:r>
            <w:r w:rsidRPr="007B1664">
              <w:rPr>
                <w:rFonts w:ascii="Times New Roman" w:hAnsi="Times New Roman"/>
                <w:b/>
                <w:bCs/>
                <w:u w:val="single"/>
              </w:rPr>
              <w:t>deduções e ajustamentos</w:t>
            </w:r>
          </w:p>
          <w:p w14:paraId="67A80F5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Esta linha deve incluir a soma dos seguintes elementos, se aplicável:</w:t>
            </w:r>
          </w:p>
          <w:p w14:paraId="356183ED"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Ajustamentos transitórios devidos a instrumentos de FP2 objeto de direitos adquiridos (artigo 483.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6 e 7, artigos 484.</w:t>
            </w:r>
            <w:r w:rsidRPr="007B1664">
              <w:rPr>
                <w:rFonts w:ascii="Times New Roman" w:hAnsi="Times New Roman"/>
                <w:bCs/>
                <w:vertAlign w:val="superscript"/>
              </w:rPr>
              <w:t>o</w:t>
            </w:r>
            <w:r w:rsidRPr="007B1664">
              <w:rPr>
                <w:rFonts w:ascii="Times New Roman" w:hAnsi="Times New Roman"/>
                <w:bCs/>
              </w:rPr>
              <w:t xml:space="preserve">, 486.°, 488.°, 490.° e 491.° do </w:t>
            </w:r>
            <w:r w:rsidRPr="007B1664">
              <w:rPr>
                <w:rFonts w:ascii="Times New Roman" w:hAnsi="Times New Roman"/>
                <w:bCs/>
              </w:rPr>
              <w:t>Regulamento (UE) n.</w:t>
            </w:r>
            <w:r w:rsidRPr="007B1664">
              <w:rPr>
                <w:rFonts w:ascii="Times New Roman" w:hAnsi="Times New Roman"/>
                <w:bCs/>
                <w:vertAlign w:val="superscript"/>
              </w:rPr>
              <w:t>o</w:t>
            </w:r>
            <w:r w:rsidRPr="007B1664">
              <w:rPr>
                <w:rFonts w:ascii="Times New Roman" w:hAnsi="Times New Roman"/>
                <w:bCs/>
              </w:rPr>
              <w:t> 575/2013).</w:t>
            </w:r>
          </w:p>
          <w:p w14:paraId="790EF695"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Instrumentos emitidos por filiais reconhecidos nos FP2 (artigos 83.</w:t>
            </w:r>
            <w:r w:rsidRPr="007B1664">
              <w:rPr>
                <w:rFonts w:ascii="Times New Roman" w:hAnsi="Times New Roman"/>
                <w:bCs/>
                <w:vertAlign w:val="superscript"/>
              </w:rPr>
              <w:t>o</w:t>
            </w:r>
            <w:r w:rsidRPr="007B1664">
              <w:rPr>
                <w:rFonts w:ascii="Times New Roman" w:hAnsi="Times New Roman"/>
                <w:bCs/>
              </w:rPr>
              <w:t>, 87.° e 88.° do Regulamento (UE) n.</w:t>
            </w:r>
            <w:r w:rsidRPr="007B1664">
              <w:rPr>
                <w:rFonts w:ascii="Times New Roman" w:hAnsi="Times New Roman"/>
                <w:bCs/>
                <w:vertAlign w:val="superscript"/>
              </w:rPr>
              <w:t>o</w:t>
            </w:r>
            <w:r w:rsidRPr="007B1664">
              <w:rPr>
                <w:rFonts w:ascii="Times New Roman" w:hAnsi="Times New Roman"/>
                <w:bCs/>
              </w:rPr>
              <w:t> 575/2013): Soma de todos os montantes de fundos próprios elegíveis das filiais incluídos nos FP2 consolidados, inclu</w:t>
            </w:r>
            <w:r w:rsidRPr="007B1664">
              <w:rPr>
                <w:rFonts w:ascii="Times New Roman" w:hAnsi="Times New Roman"/>
                <w:bCs/>
              </w:rPr>
              <w:t>indo também os FP2 elegíveis emitidos por uma entidade com objeto específico (artigo 83.</w:t>
            </w:r>
            <w:r w:rsidRPr="007B1664">
              <w:rPr>
                <w:rFonts w:ascii="Times New Roman" w:hAnsi="Times New Roman"/>
                <w:bCs/>
                <w:vertAlign w:val="superscript"/>
              </w:rPr>
              <w:t>o</w:t>
            </w:r>
            <w:r w:rsidRPr="007B1664">
              <w:rPr>
                <w:rFonts w:ascii="Times New Roman" w:hAnsi="Times New Roman"/>
                <w:bCs/>
              </w:rPr>
              <w:t xml:space="preserve"> do Regulamento (UE) n.</w:t>
            </w:r>
            <w:r w:rsidRPr="007B1664">
              <w:rPr>
                <w:rFonts w:ascii="Times New Roman" w:hAnsi="Times New Roman"/>
                <w:bCs/>
                <w:vertAlign w:val="superscript"/>
              </w:rPr>
              <w:t>o</w:t>
            </w:r>
            <w:r w:rsidRPr="007B1664">
              <w:rPr>
                <w:rFonts w:ascii="Times New Roman" w:hAnsi="Times New Roman"/>
                <w:bCs/>
              </w:rPr>
              <w:t> 575/2013).</w:t>
            </w:r>
          </w:p>
          <w:p w14:paraId="4E16AA03"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Ajustamentos transitórios devidos ao reconhecimento adicional nos FP2 de instrumentos emitidos por filiais (artigo 480.</w:t>
            </w:r>
            <w:r w:rsidRPr="007B1664">
              <w:rPr>
                <w:rFonts w:ascii="Times New Roman" w:hAnsi="Times New Roman"/>
                <w:bCs/>
                <w:vertAlign w:val="superscript"/>
              </w:rPr>
              <w:t>o</w:t>
            </w:r>
            <w:r w:rsidRPr="007B1664">
              <w:rPr>
                <w:rFonts w:ascii="Times New Roman" w:hAnsi="Times New Roman"/>
                <w:bCs/>
              </w:rPr>
              <w:t xml:space="preserve"> do Regul</w:t>
            </w:r>
            <w:r w:rsidRPr="007B1664">
              <w:rPr>
                <w:rFonts w:ascii="Times New Roman" w:hAnsi="Times New Roman"/>
                <w:bCs/>
              </w:rPr>
              <w:t>amento (UE) n.</w:t>
            </w:r>
            <w:r w:rsidRPr="007B1664">
              <w:rPr>
                <w:rFonts w:ascii="Times New Roman" w:hAnsi="Times New Roman"/>
                <w:bCs/>
                <w:vertAlign w:val="superscript"/>
              </w:rPr>
              <w:t>o</w:t>
            </w:r>
            <w:r w:rsidRPr="007B1664">
              <w:rPr>
                <w:rFonts w:ascii="Times New Roman" w:hAnsi="Times New Roman"/>
                <w:bCs/>
              </w:rPr>
              <w:t> 575/2013): Ajustamentos dos fundos próprios elegíveis incluídos nos FP2 consolidados devido a disposições transitórias.</w:t>
            </w:r>
          </w:p>
          <w:p w14:paraId="568526E8"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Outros ajustamentos transitórios dos FP2 (artigos 472.</w:t>
            </w:r>
            <w:r w:rsidRPr="007B1664">
              <w:rPr>
                <w:rFonts w:ascii="Times New Roman" w:hAnsi="Times New Roman"/>
                <w:bCs/>
                <w:vertAlign w:val="superscript"/>
              </w:rPr>
              <w:t>o</w:t>
            </w:r>
            <w:r w:rsidRPr="007B1664">
              <w:rPr>
                <w:rFonts w:ascii="Times New Roman" w:hAnsi="Times New Roman"/>
                <w:bCs/>
              </w:rPr>
              <w:t>, 473.°-A, 476.°, 477.°, 478.° e 481.° do Regulamento (UE) n.</w:t>
            </w:r>
            <w:r w:rsidRPr="007B1664">
              <w:rPr>
                <w:rFonts w:ascii="Times New Roman" w:hAnsi="Times New Roman"/>
                <w:bCs/>
                <w:vertAlign w:val="superscript"/>
              </w:rPr>
              <w:t>o</w:t>
            </w:r>
            <w:r w:rsidRPr="007B1664">
              <w:rPr>
                <w:rFonts w:ascii="Times New Roman" w:hAnsi="Times New Roman"/>
                <w:bCs/>
              </w:rPr>
              <w:t> </w:t>
            </w:r>
            <w:r w:rsidRPr="007B1664">
              <w:rPr>
                <w:rFonts w:ascii="Times New Roman" w:hAnsi="Times New Roman"/>
                <w:bCs/>
              </w:rPr>
              <w:t>575/2013): Ajustamentos das deduções aos FP2 devido a disposições transitórias.</w:t>
            </w:r>
          </w:p>
          <w:p w14:paraId="4D3268BF"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Excesso de dedução de elementos dos FP2 relativamente aos FP2, deduzido aos FPA1 nos termos do artigo 56.</w:t>
            </w:r>
            <w:r w:rsidRPr="007B1664">
              <w:rPr>
                <w:rFonts w:ascii="Times New Roman" w:hAnsi="Times New Roman"/>
                <w:bCs/>
                <w:vertAlign w:val="superscript"/>
              </w:rPr>
              <w:t>o</w:t>
            </w:r>
            <w:r w:rsidRPr="007B1664">
              <w:rPr>
                <w:rFonts w:ascii="Times New Roman" w:hAnsi="Times New Roman"/>
                <w:bCs/>
              </w:rPr>
              <w:t>, alínea e), do Regulamento (UE) n.</w:t>
            </w:r>
            <w:r w:rsidRPr="007B1664">
              <w:rPr>
                <w:rFonts w:ascii="Times New Roman" w:hAnsi="Times New Roman"/>
                <w:bCs/>
                <w:vertAlign w:val="superscript"/>
              </w:rPr>
              <w:t>o</w:t>
            </w:r>
            <w:r w:rsidRPr="007B1664">
              <w:rPr>
                <w:rFonts w:ascii="Times New Roman" w:hAnsi="Times New Roman"/>
                <w:bCs/>
              </w:rPr>
              <w:t xml:space="preserve"> 575/2013: Os FP2 não podem ser </w:t>
            </w:r>
            <w:r w:rsidRPr="007B1664">
              <w:rPr>
                <w:rFonts w:ascii="Times New Roman" w:hAnsi="Times New Roman"/>
                <w:bCs/>
              </w:rPr>
              <w:t>negativos, mas é possível que as deduções aos elementos dos FP2 excedam o montante dos elementos dos FP2 disponíveis. Se tal acontecer, este elemento representa o montante necessário para aumentar o montante comunicado na linha 0420 para zero.</w:t>
            </w:r>
          </w:p>
          <w:p w14:paraId="21E958C1" w14:textId="77777777" w:rsidR="000B1B99" w:rsidRPr="007B1664" w:rsidRDefault="007B1664">
            <w:pPr>
              <w:spacing w:after="120" w:line="240" w:lineRule="auto"/>
              <w:ind w:left="360" w:hanging="360"/>
              <w:jc w:val="both"/>
              <w:rPr>
                <w:rFonts w:ascii="Times New Roman" w:eastAsia="Times New Roman" w:hAnsi="Times New Roman" w:cs="Times New Roman"/>
                <w:bCs/>
              </w:rPr>
            </w:pPr>
            <w:r w:rsidRPr="007B1664">
              <w:rPr>
                <w:rFonts w:ascii="Times New Roman" w:eastAsia="Times New Roman" w:hAnsi="Times New Roman" w:cs="Times New Roman"/>
                <w:bCs/>
              </w:rPr>
              <w:t>—</w:t>
            </w:r>
            <w:r w:rsidRPr="007B1664">
              <w:rPr>
                <w:rFonts w:ascii="Times New Roman" w:eastAsia="Times New Roman" w:hAnsi="Times New Roman" w:cs="Times New Roman"/>
                <w:bCs/>
              </w:rPr>
              <w:tab/>
            </w:r>
            <w:r w:rsidRPr="007B1664">
              <w:rPr>
                <w:rFonts w:ascii="Times New Roman" w:hAnsi="Times New Roman"/>
                <w:bCs/>
              </w:rPr>
              <w:t>Outros ele</w:t>
            </w:r>
            <w:r w:rsidRPr="007B1664">
              <w:rPr>
                <w:rFonts w:ascii="Times New Roman" w:hAnsi="Times New Roman"/>
                <w:bCs/>
              </w:rPr>
              <w:t>mentos de FP2 ou deduções a um elemento de FP2 que não possam ser afetados a uma das linhas 0430 a 0510.</w:t>
            </w:r>
          </w:p>
          <w:p w14:paraId="0FFEB72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Esta linha não deve ser utilizada para incluir elementos ou deduções de fundos próprios não abrangidos pelo Regulamento (UE) 2019/2033 ou pelo Regulame</w:t>
            </w:r>
            <w:r w:rsidRPr="007B1664">
              <w:rPr>
                <w:rFonts w:ascii="Times New Roman" w:hAnsi="Times New Roman"/>
                <w:bCs/>
              </w:rPr>
              <w:t>nto (UE) n.</w:t>
            </w:r>
            <w:r w:rsidRPr="007B1664">
              <w:rPr>
                <w:rFonts w:ascii="Times New Roman" w:hAnsi="Times New Roman"/>
                <w:bCs/>
                <w:vertAlign w:val="superscript"/>
              </w:rPr>
              <w:t>o</w:t>
            </w:r>
            <w:r w:rsidRPr="007B1664">
              <w:rPr>
                <w:rFonts w:ascii="Times New Roman" w:hAnsi="Times New Roman"/>
                <w:bCs/>
              </w:rPr>
              <w:t> 575/2013 no cálculo dos rácios de solvabilidade.</w:t>
            </w:r>
          </w:p>
        </w:tc>
      </w:tr>
    </w:tbl>
    <w:p w14:paraId="41193167" w14:textId="77777777" w:rsidR="000B1B99" w:rsidRPr="007B1664" w:rsidRDefault="000B1B99">
      <w:pPr>
        <w:keepNext/>
        <w:spacing w:before="240" w:after="240" w:line="240" w:lineRule="auto"/>
        <w:jc w:val="both"/>
        <w:outlineLvl w:val="1"/>
        <w:rPr>
          <w:rFonts w:ascii="Times New Roman" w:eastAsia="Arial" w:hAnsi="Times New Roman" w:cs="Times New Roman"/>
          <w:sz w:val="24"/>
          <w:szCs w:val="24"/>
        </w:rPr>
      </w:pPr>
    </w:p>
    <w:p w14:paraId="7E890EE9"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47664"/>
      <w:r w:rsidRPr="007B1664">
        <w:rPr>
          <w:rFonts w:ascii="Times New Roman" w:hAnsi="Times New Roman"/>
          <w:sz w:val="24"/>
          <w:szCs w:val="24"/>
          <w:u w:val="single"/>
        </w:rPr>
        <w:t>1.3. I 02.01 - REQUISITOS DE FUNDOS PRÓPRIOS (I 2.1)</w:t>
      </w:r>
      <w:bookmarkEnd w:id="29"/>
    </w:p>
    <w:p w14:paraId="6B0E0052"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47665"/>
      <w:r w:rsidRPr="007B1664">
        <w:rPr>
          <w:rFonts w:ascii="Times New Roman" w:hAnsi="Times New Roman"/>
          <w:sz w:val="24"/>
          <w:szCs w:val="24"/>
        </w:rPr>
        <w:t>1.3.1.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25E4764B" w14:textId="77777777">
        <w:tc>
          <w:tcPr>
            <w:tcW w:w="1129" w:type="dxa"/>
            <w:shd w:val="clear" w:color="auto" w:fill="D9D9D9"/>
          </w:tcPr>
          <w:p w14:paraId="132F376A"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color w:val="000000" w:themeColor="text1"/>
              </w:rPr>
              <w:t>Linha</w:t>
            </w:r>
          </w:p>
        </w:tc>
        <w:tc>
          <w:tcPr>
            <w:tcW w:w="7620" w:type="dxa"/>
            <w:shd w:val="clear" w:color="auto" w:fill="D9D9D9"/>
          </w:tcPr>
          <w:p w14:paraId="156D8719"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color w:val="000000" w:themeColor="text1"/>
              </w:rPr>
              <w:t>Referências jurídicas e instruções</w:t>
            </w:r>
          </w:p>
        </w:tc>
      </w:tr>
      <w:tr w:rsidR="000B1B99" w:rsidRPr="007B1664" w14:paraId="7FDC161D" w14:textId="77777777">
        <w:tc>
          <w:tcPr>
            <w:tcW w:w="1129" w:type="dxa"/>
          </w:tcPr>
          <w:p w14:paraId="489AD52A"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0010</w:t>
            </w:r>
          </w:p>
        </w:tc>
        <w:tc>
          <w:tcPr>
            <w:tcW w:w="7620" w:type="dxa"/>
          </w:tcPr>
          <w:p w14:paraId="76F095C1"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de fundos próprios</w:t>
            </w:r>
          </w:p>
          <w:p w14:paraId="06AE03BB"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 xml:space="preserve">Artigo </w:t>
            </w:r>
            <w:r w:rsidRPr="007B1664">
              <w:rPr>
                <w:rFonts w:ascii="Times New Roman" w:hAnsi="Times New Roman"/>
                <w:bCs/>
                <w:color w:val="000000" w:themeColor="text1"/>
              </w:rPr>
              <w:t>11.</w:t>
            </w:r>
            <w:r w:rsidRPr="007B1664">
              <w:rPr>
                <w:rFonts w:ascii="Times New Roman" w:hAnsi="Times New Roman"/>
                <w:bCs/>
                <w:color w:val="000000" w:themeColor="text1"/>
                <w:vertAlign w:val="superscript"/>
              </w:rPr>
              <w:t>o</w:t>
            </w:r>
            <w:r w:rsidRPr="007B1664">
              <w:rPr>
                <w:rFonts w:ascii="Times New Roman" w:hAnsi="Times New Roman"/>
                <w:bCs/>
                <w:color w:val="000000" w:themeColor="text1"/>
              </w:rPr>
              <w:t>, n.</w:t>
            </w:r>
            <w:r w:rsidRPr="007B1664">
              <w:rPr>
                <w:rFonts w:ascii="Times New Roman" w:hAnsi="Times New Roman"/>
                <w:bCs/>
                <w:color w:val="000000" w:themeColor="text1"/>
                <w:vertAlign w:val="superscript"/>
              </w:rPr>
              <w:t>o</w:t>
            </w:r>
            <w:r w:rsidRPr="007B1664">
              <w:rPr>
                <w:rFonts w:ascii="Times New Roman" w:hAnsi="Times New Roman"/>
                <w:bCs/>
                <w:color w:val="000000" w:themeColor="text1"/>
              </w:rPr>
              <w:t> 1, do Regulamento (UE) 2019/2033.</w:t>
            </w:r>
          </w:p>
          <w:p w14:paraId="5CD1BEBA" w14:textId="77777777" w:rsidR="000B1B99" w:rsidRPr="007B1664" w:rsidRDefault="007B1664">
            <w:pPr>
              <w:spacing w:after="120" w:line="240" w:lineRule="auto"/>
              <w:jc w:val="both"/>
              <w:rPr>
                <w:rFonts w:ascii="Times New Roman" w:eastAsia="Times New Roman" w:hAnsi="Times New Roman" w:cs="Times New Roman"/>
                <w:bCs/>
                <w:i/>
                <w:color w:val="000000" w:themeColor="text1"/>
              </w:rPr>
            </w:pPr>
            <w:r w:rsidRPr="007B1664">
              <w:rPr>
                <w:rFonts w:ascii="Times New Roman" w:hAnsi="Times New Roman"/>
                <w:bCs/>
              </w:rPr>
              <w:t>O montante será o montante sem aplicação do artigo 57.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3, 4 ou 6, do Regulamento (UE) 2019/2033.</w:t>
            </w:r>
          </w:p>
          <w:p w14:paraId="758EBC56"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O montante a comunicar nesta linha deve ser o montante máximo comunicado nas linhas 0020, 0030 e 0040.</w:t>
            </w:r>
          </w:p>
        </w:tc>
      </w:tr>
      <w:tr w:rsidR="000B1B99" w:rsidRPr="007B1664" w14:paraId="13706ABE" w14:textId="77777777">
        <w:tc>
          <w:tcPr>
            <w:tcW w:w="1129" w:type="dxa"/>
          </w:tcPr>
          <w:p w14:paraId="394965E0"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lastRenderedPageBreak/>
              <w:t>0020</w:t>
            </w:r>
          </w:p>
        </w:tc>
        <w:tc>
          <w:tcPr>
            <w:tcW w:w="7620" w:type="dxa"/>
          </w:tcPr>
          <w:p w14:paraId="4FD60848"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de capital mínimo permanente</w:t>
            </w:r>
          </w:p>
          <w:p w14:paraId="61089E0D"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Artigo 14.</w:t>
            </w:r>
            <w:r w:rsidRPr="007B1664">
              <w:rPr>
                <w:rFonts w:ascii="Times New Roman" w:hAnsi="Times New Roman"/>
                <w:bCs/>
                <w:color w:val="000000" w:themeColor="text1"/>
                <w:vertAlign w:val="superscript"/>
              </w:rPr>
              <w:t>o</w:t>
            </w:r>
            <w:r w:rsidRPr="007B1664">
              <w:rPr>
                <w:rFonts w:ascii="Times New Roman" w:hAnsi="Times New Roman"/>
                <w:bCs/>
                <w:color w:val="000000" w:themeColor="text1"/>
              </w:rPr>
              <w:t xml:space="preserve"> do Regulamento (UE) 2019/2033</w:t>
            </w:r>
          </w:p>
          <w:p w14:paraId="22A44825"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O montante será o montante sem aplicação do artigo 57.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3, 4 ou 6, do Regulamento (UE) 2019/2033.</w:t>
            </w:r>
          </w:p>
        </w:tc>
      </w:tr>
      <w:tr w:rsidR="000B1B99" w:rsidRPr="007B1664" w14:paraId="731C04A9" w14:textId="77777777">
        <w:tc>
          <w:tcPr>
            <w:tcW w:w="1129" w:type="dxa"/>
          </w:tcPr>
          <w:p w14:paraId="5ABBB072"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0030</w:t>
            </w:r>
          </w:p>
        </w:tc>
        <w:tc>
          <w:tcPr>
            <w:tcW w:w="7620" w:type="dxa"/>
          </w:tcPr>
          <w:p w14:paraId="6D6CF2CF"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baseado nas despesas gerais fixas</w:t>
            </w:r>
          </w:p>
          <w:p w14:paraId="07ABD089"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Artigo 13.</w:t>
            </w:r>
            <w:r w:rsidRPr="007B1664">
              <w:rPr>
                <w:rFonts w:ascii="Times New Roman" w:hAnsi="Times New Roman"/>
                <w:bCs/>
                <w:color w:val="000000" w:themeColor="text1"/>
                <w:vertAlign w:val="superscript"/>
              </w:rPr>
              <w:t>o</w:t>
            </w:r>
            <w:r w:rsidRPr="007B1664">
              <w:rPr>
                <w:rFonts w:ascii="Times New Roman" w:hAnsi="Times New Roman"/>
                <w:bCs/>
                <w:color w:val="000000" w:themeColor="text1"/>
              </w:rPr>
              <w:t xml:space="preserve"> do Regulamento (UE) 2019/2033.</w:t>
            </w:r>
          </w:p>
          <w:p w14:paraId="656BC972"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O montante será o montante sem aplicação do artigo 57.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3, 4 ou 6, do Regulamento (UE) 2019/2033.</w:t>
            </w:r>
          </w:p>
        </w:tc>
      </w:tr>
      <w:tr w:rsidR="000B1B99" w:rsidRPr="007B1664" w14:paraId="6D925DE4" w14:textId="77777777">
        <w:tc>
          <w:tcPr>
            <w:tcW w:w="1129" w:type="dxa"/>
          </w:tcPr>
          <w:p w14:paraId="14EBB6F7"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0040</w:t>
            </w:r>
          </w:p>
        </w:tc>
        <w:tc>
          <w:tcPr>
            <w:tcW w:w="7620" w:type="dxa"/>
          </w:tcPr>
          <w:p w14:paraId="31D6E70A"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total baseado nos fatores K</w:t>
            </w:r>
          </w:p>
          <w:p w14:paraId="1C6A4526"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Artigo 15.</w:t>
            </w:r>
            <w:r w:rsidRPr="007B1664">
              <w:rPr>
                <w:rFonts w:ascii="Times New Roman" w:hAnsi="Times New Roman"/>
                <w:bCs/>
                <w:color w:val="000000" w:themeColor="text1"/>
                <w:vertAlign w:val="superscript"/>
              </w:rPr>
              <w:t>o</w:t>
            </w:r>
            <w:r w:rsidRPr="007B1664">
              <w:rPr>
                <w:rFonts w:ascii="Times New Roman" w:hAnsi="Times New Roman"/>
                <w:bCs/>
                <w:color w:val="000000" w:themeColor="text1"/>
              </w:rPr>
              <w:t xml:space="preserve"> do Regulamento (UE) 2019/2033.</w:t>
            </w:r>
          </w:p>
          <w:p w14:paraId="33EB8677"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O montante corresponde ao montant</w:t>
            </w:r>
            <w:r w:rsidRPr="007B1664">
              <w:rPr>
                <w:rFonts w:ascii="Times New Roman" w:hAnsi="Times New Roman"/>
                <w:bCs/>
              </w:rPr>
              <w:t>e sem aplicação do artigo 57.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3, 4 ou 6, do Regulamento (UE) 2019/2033.</w:t>
            </w:r>
          </w:p>
        </w:tc>
      </w:tr>
      <w:tr w:rsidR="000B1B99" w:rsidRPr="007B1664" w14:paraId="04DF6F0F" w14:textId="77777777">
        <w:tc>
          <w:tcPr>
            <w:tcW w:w="1129" w:type="dxa"/>
          </w:tcPr>
          <w:p w14:paraId="2328EBCA"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0050 – 0100</w:t>
            </w:r>
          </w:p>
        </w:tc>
        <w:tc>
          <w:tcPr>
            <w:tcW w:w="7620" w:type="dxa"/>
          </w:tcPr>
          <w:p w14:paraId="73EA76E0"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Requisitos transitórios de fundos próprios</w:t>
            </w:r>
          </w:p>
        </w:tc>
      </w:tr>
      <w:tr w:rsidR="000B1B99" w:rsidRPr="007B1664" w14:paraId="6EBD0EF1" w14:textId="77777777">
        <w:tc>
          <w:tcPr>
            <w:tcW w:w="1129" w:type="dxa"/>
          </w:tcPr>
          <w:p w14:paraId="0AB43359"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0050</w:t>
            </w:r>
          </w:p>
        </w:tc>
        <w:tc>
          <w:tcPr>
            <w:tcW w:w="7620" w:type="dxa"/>
          </w:tcPr>
          <w:p w14:paraId="3E2286D8"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transitório baseado nos requisitos de fundos próprios do Regulamento (UE) n.</w:t>
            </w:r>
            <w:r w:rsidRPr="007B1664">
              <w:rPr>
                <w:rFonts w:ascii="Times New Roman" w:hAnsi="Times New Roman"/>
                <w:b/>
                <w:bCs/>
                <w:color w:val="000000" w:themeColor="text1"/>
                <w:u w:val="single"/>
                <w:vertAlign w:val="superscript"/>
              </w:rPr>
              <w:t>o</w:t>
            </w:r>
            <w:r w:rsidRPr="007B1664">
              <w:rPr>
                <w:rFonts w:ascii="Times New Roman" w:hAnsi="Times New Roman"/>
                <w:b/>
                <w:bCs/>
                <w:color w:val="000000" w:themeColor="text1"/>
                <w:u w:val="single"/>
              </w:rPr>
              <w:t> 575/2013</w:t>
            </w:r>
          </w:p>
          <w:p w14:paraId="4D9BD812"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Artigo 57.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3, alínea a), do Regulamento (UE) 2019/2033.</w:t>
            </w:r>
          </w:p>
        </w:tc>
      </w:tr>
      <w:tr w:rsidR="000B1B99" w:rsidRPr="007B1664" w14:paraId="7EE4F1CE" w14:textId="77777777">
        <w:tc>
          <w:tcPr>
            <w:tcW w:w="1129" w:type="dxa"/>
          </w:tcPr>
          <w:p w14:paraId="65F31CAC"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0060</w:t>
            </w:r>
          </w:p>
        </w:tc>
        <w:tc>
          <w:tcPr>
            <w:tcW w:w="7620" w:type="dxa"/>
          </w:tcPr>
          <w:p w14:paraId="3A9FECB1"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transitório baseado no requisito baseado nas despesas gerais fixas</w:t>
            </w:r>
          </w:p>
          <w:p w14:paraId="244825F5"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Artigo 57.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3, alínea b), do Regulamento (UE) 2019/2033.</w:t>
            </w:r>
          </w:p>
        </w:tc>
      </w:tr>
      <w:tr w:rsidR="000B1B99" w:rsidRPr="007B1664" w14:paraId="3994AF3A" w14:textId="77777777">
        <w:tc>
          <w:tcPr>
            <w:tcW w:w="1129" w:type="dxa"/>
          </w:tcPr>
          <w:p w14:paraId="301D68D1"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0070</w:t>
            </w:r>
          </w:p>
        </w:tc>
        <w:tc>
          <w:tcPr>
            <w:tcW w:w="7620" w:type="dxa"/>
          </w:tcPr>
          <w:p w14:paraId="734AF2DD"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transitório aplicável às empresas de investimento</w:t>
            </w:r>
            <w:r w:rsidRPr="007B1664">
              <w:rPr>
                <w:rFonts w:ascii="Times New Roman" w:hAnsi="Times New Roman"/>
                <w:b/>
                <w:bCs/>
                <w:color w:val="000000" w:themeColor="text1"/>
                <w:u w:val="single"/>
              </w:rPr>
              <w:t xml:space="preserve"> anteriormente sujeitas apenas a um requisito de capital inicial</w:t>
            </w:r>
          </w:p>
          <w:p w14:paraId="1D53F96E"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Artigo 57.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alínea a), do Regulamento (UE) 2019/2033.</w:t>
            </w:r>
          </w:p>
        </w:tc>
      </w:tr>
      <w:tr w:rsidR="000B1B99" w:rsidRPr="007B1664" w14:paraId="7150C345" w14:textId="77777777">
        <w:tc>
          <w:tcPr>
            <w:tcW w:w="1129" w:type="dxa"/>
          </w:tcPr>
          <w:p w14:paraId="18131BBD"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0080</w:t>
            </w:r>
          </w:p>
        </w:tc>
        <w:tc>
          <w:tcPr>
            <w:tcW w:w="7620" w:type="dxa"/>
          </w:tcPr>
          <w:p w14:paraId="301BE911"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transitório baseado no requisito de capital inicial aquando da autorização</w:t>
            </w:r>
          </w:p>
          <w:p w14:paraId="39C90EFD"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Artigo 57.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4, alínea b), do </w:t>
            </w:r>
            <w:r w:rsidRPr="007B1664">
              <w:rPr>
                <w:rFonts w:ascii="Times New Roman" w:hAnsi="Times New Roman"/>
                <w:bCs/>
              </w:rPr>
              <w:t>Regulamento (UE) 2019/2033.</w:t>
            </w:r>
          </w:p>
        </w:tc>
      </w:tr>
      <w:tr w:rsidR="000B1B99" w:rsidRPr="007B1664" w14:paraId="5B02C5AE" w14:textId="77777777">
        <w:tc>
          <w:tcPr>
            <w:tcW w:w="1129" w:type="dxa"/>
          </w:tcPr>
          <w:p w14:paraId="42601338"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0090</w:t>
            </w:r>
          </w:p>
        </w:tc>
        <w:tc>
          <w:tcPr>
            <w:tcW w:w="7620" w:type="dxa"/>
          </w:tcPr>
          <w:p w14:paraId="7ACE2D92"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transitório aplicável às empresas de investimento que não estão autorizadas a prestar determinados serviços</w:t>
            </w:r>
          </w:p>
          <w:p w14:paraId="52B73F43"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57.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alínea c), do Regulamento (UE) 2019/2033.</w:t>
            </w:r>
          </w:p>
        </w:tc>
      </w:tr>
      <w:tr w:rsidR="000B1B99" w:rsidRPr="007B1664" w14:paraId="53EB99DF" w14:textId="77777777">
        <w:tc>
          <w:tcPr>
            <w:tcW w:w="1129" w:type="dxa"/>
          </w:tcPr>
          <w:p w14:paraId="146683F9"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0100</w:t>
            </w:r>
          </w:p>
        </w:tc>
        <w:tc>
          <w:tcPr>
            <w:tcW w:w="7620" w:type="dxa"/>
          </w:tcPr>
          <w:p w14:paraId="3BE1A02E"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xml:space="preserve">Requisito transitório de, pelo </w:t>
            </w:r>
            <w:r w:rsidRPr="007B1664">
              <w:rPr>
                <w:rFonts w:ascii="Times New Roman" w:hAnsi="Times New Roman"/>
                <w:b/>
                <w:bCs/>
                <w:color w:val="000000" w:themeColor="text1"/>
                <w:u w:val="single"/>
              </w:rPr>
              <w:t>menos, 250 000 EUR</w:t>
            </w:r>
          </w:p>
          <w:p w14:paraId="59CACB71"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Artigo 57.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6, do Regulamento (UE) 2019/2033.</w:t>
            </w:r>
          </w:p>
        </w:tc>
      </w:tr>
      <w:tr w:rsidR="000B1B99" w:rsidRPr="007B1664" w14:paraId="446833B8" w14:textId="77777777">
        <w:tc>
          <w:tcPr>
            <w:tcW w:w="1129" w:type="dxa"/>
          </w:tcPr>
          <w:p w14:paraId="107AE877"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0110 – 0130</w:t>
            </w:r>
          </w:p>
        </w:tc>
        <w:tc>
          <w:tcPr>
            <w:tcW w:w="7620" w:type="dxa"/>
          </w:tcPr>
          <w:p w14:paraId="5634D8A6"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Elementos para memória</w:t>
            </w:r>
          </w:p>
        </w:tc>
      </w:tr>
      <w:tr w:rsidR="000B1B99" w:rsidRPr="007B1664" w14:paraId="7DBBDE12" w14:textId="77777777">
        <w:tc>
          <w:tcPr>
            <w:tcW w:w="1129" w:type="dxa"/>
            <w:tcBorders>
              <w:top w:val="single" w:sz="4" w:space="0" w:color="auto"/>
              <w:left w:val="single" w:sz="4" w:space="0" w:color="auto"/>
              <w:bottom w:val="single" w:sz="4" w:space="0" w:color="auto"/>
              <w:right w:val="single" w:sz="4" w:space="0" w:color="auto"/>
            </w:tcBorders>
          </w:tcPr>
          <w:p w14:paraId="6C94E465"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270AECA1"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de fundos próprios adicionais</w:t>
            </w:r>
          </w:p>
          <w:p w14:paraId="6924B2BB"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Artigo 40.</w:t>
            </w:r>
            <w:r w:rsidRPr="007B1664">
              <w:rPr>
                <w:rFonts w:ascii="Times New Roman" w:hAnsi="Times New Roman"/>
                <w:bCs/>
                <w:color w:val="000000" w:themeColor="text1"/>
                <w:vertAlign w:val="superscript"/>
              </w:rPr>
              <w:t>o</w:t>
            </w:r>
            <w:r w:rsidRPr="007B1664">
              <w:rPr>
                <w:rFonts w:ascii="Times New Roman" w:hAnsi="Times New Roman"/>
                <w:bCs/>
                <w:color w:val="000000" w:themeColor="text1"/>
              </w:rPr>
              <w:t xml:space="preserve"> da Diretiva (UE) 2019/2034.</w:t>
            </w:r>
          </w:p>
          <w:p w14:paraId="3FE98C65"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color w:val="000000" w:themeColor="text1"/>
              </w:rPr>
              <w:t>Fundos próprios adicionais exigidos na sequência do SREP.</w:t>
            </w:r>
          </w:p>
        </w:tc>
      </w:tr>
      <w:tr w:rsidR="000B1B99" w:rsidRPr="007B1664" w14:paraId="5946A1FC" w14:textId="77777777">
        <w:tc>
          <w:tcPr>
            <w:tcW w:w="1129" w:type="dxa"/>
            <w:tcBorders>
              <w:top w:val="single" w:sz="4" w:space="0" w:color="auto"/>
              <w:left w:val="single" w:sz="4" w:space="0" w:color="auto"/>
              <w:bottom w:val="single" w:sz="4" w:space="0" w:color="auto"/>
              <w:right w:val="single" w:sz="4" w:space="0" w:color="auto"/>
            </w:tcBorders>
          </w:tcPr>
          <w:p w14:paraId="2B436182"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53009390"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Fundos próprios adicionais decorrentes de orientações</w:t>
            </w:r>
          </w:p>
          <w:p w14:paraId="5829E543"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41.</w:t>
            </w:r>
            <w:r w:rsidRPr="007B1664">
              <w:rPr>
                <w:rFonts w:ascii="Times New Roman" w:hAnsi="Times New Roman"/>
                <w:bCs/>
                <w:vertAlign w:val="superscript"/>
              </w:rPr>
              <w:t>o</w:t>
            </w:r>
            <w:r w:rsidRPr="007B1664">
              <w:rPr>
                <w:rFonts w:ascii="Times New Roman" w:hAnsi="Times New Roman"/>
                <w:bCs/>
              </w:rPr>
              <w:t xml:space="preserve"> da Diretiva (UE) 2019/2034.</w:t>
            </w:r>
          </w:p>
          <w:p w14:paraId="5A4D0F09"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color w:val="000000" w:themeColor="text1"/>
              </w:rPr>
              <w:t>Fundos próprios adicionais exigidos a título de orientações adicionais em matéria de fundos próprios.</w:t>
            </w:r>
          </w:p>
        </w:tc>
      </w:tr>
      <w:tr w:rsidR="000B1B99" w:rsidRPr="007B1664" w14:paraId="74C8EA42" w14:textId="77777777">
        <w:tc>
          <w:tcPr>
            <w:tcW w:w="1129" w:type="dxa"/>
            <w:tcBorders>
              <w:top w:val="single" w:sz="4" w:space="0" w:color="auto"/>
              <w:left w:val="single" w:sz="4" w:space="0" w:color="auto"/>
              <w:bottom w:val="single" w:sz="4" w:space="0" w:color="auto"/>
              <w:right w:val="single" w:sz="4" w:space="0" w:color="auto"/>
            </w:tcBorders>
          </w:tcPr>
          <w:p w14:paraId="05C138F6"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60B2E4DF"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Total dos requisitos de fundos próprios</w:t>
            </w:r>
          </w:p>
          <w:p w14:paraId="4A031EFF"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color w:val="000000" w:themeColor="text1"/>
              </w:rPr>
              <w:lastRenderedPageBreak/>
              <w:t xml:space="preserve">O </w:t>
            </w:r>
            <w:r w:rsidRPr="007B1664">
              <w:rPr>
                <w:rFonts w:ascii="Times New Roman" w:hAnsi="Times New Roman"/>
                <w:bCs/>
                <w:color w:val="000000" w:themeColor="text1"/>
              </w:rPr>
              <w:t>requisito total de fundos próprios de uma empresa de investimento consiste na soma dos seus requisitos de fundos próprios aplicáveis à data de referência, do requisito adicional de fundos próprios comunicado na linha 0110 e dos fundos próprios adicionais d</w:t>
            </w:r>
            <w:r w:rsidRPr="007B1664">
              <w:rPr>
                <w:rFonts w:ascii="Times New Roman" w:hAnsi="Times New Roman"/>
                <w:bCs/>
                <w:color w:val="000000" w:themeColor="text1"/>
              </w:rPr>
              <w:t>ecorrentes das orientações adicionais em matéria de fundos próprios, como comunicado na linha 0120.</w:t>
            </w:r>
          </w:p>
        </w:tc>
      </w:tr>
    </w:tbl>
    <w:p w14:paraId="5ACFED12"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47666"/>
      <w:r w:rsidRPr="007B1664">
        <w:rPr>
          <w:rFonts w:ascii="Times New Roman" w:hAnsi="Times New Roman"/>
          <w:sz w:val="24"/>
          <w:szCs w:val="24"/>
          <w:u w:val="single"/>
        </w:rPr>
        <w:lastRenderedPageBreak/>
        <w:t>1.4. I 02.02 – RÁCIOS DE FUNDOS PRÓPRIOS (I 2.2)</w:t>
      </w:r>
      <w:bookmarkEnd w:id="31"/>
    </w:p>
    <w:p w14:paraId="75C6B88F"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47667"/>
      <w:r w:rsidRPr="007B1664">
        <w:rPr>
          <w:rFonts w:ascii="Times New Roman" w:hAnsi="Times New Roman"/>
          <w:sz w:val="24"/>
          <w:szCs w:val="24"/>
        </w:rPr>
        <w:t>1.4.1.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7B8B3224" w14:textId="77777777">
        <w:tc>
          <w:tcPr>
            <w:tcW w:w="1129" w:type="dxa"/>
            <w:shd w:val="clear" w:color="auto" w:fill="D9D9D9"/>
          </w:tcPr>
          <w:p w14:paraId="63A32AC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05ADE73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57C937D4" w14:textId="77777777">
        <w:tc>
          <w:tcPr>
            <w:tcW w:w="1129" w:type="dxa"/>
          </w:tcPr>
          <w:p w14:paraId="260F8C2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3D7FD45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Rácio de FPP1</w:t>
            </w:r>
          </w:p>
          <w:p w14:paraId="6C01B4D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a), e artigo 11.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1884896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do Regulamento (UE) 2019/2033.</w:t>
            </w:r>
          </w:p>
          <w:p w14:paraId="2F973B4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Este elemento é expresso em percentagem.</w:t>
            </w:r>
          </w:p>
        </w:tc>
      </w:tr>
      <w:tr w:rsidR="000B1B99" w:rsidRPr="007B1664" w14:paraId="794A59BD" w14:textId="77777777">
        <w:tc>
          <w:tcPr>
            <w:tcW w:w="1129" w:type="dxa"/>
          </w:tcPr>
          <w:p w14:paraId="5D6FAC9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Pr>
          <w:p w14:paraId="203CD7E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Excedente(+)/Défice(–) de FPP1</w:t>
            </w:r>
          </w:p>
          <w:p w14:paraId="5933717D"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rPr>
              <w:t xml:space="preserve">Este elemento </w:t>
            </w:r>
            <w:r w:rsidRPr="007B1664">
              <w:rPr>
                <w:rFonts w:ascii="Times New Roman" w:hAnsi="Times New Roman"/>
              </w:rPr>
              <w:t>apresenta o excedente ou o défice de FPP1 relacionado com o requisito estabelecido no artigo 9.</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do Regulamento (UE) 2019/2033.</w:t>
            </w:r>
          </w:p>
          <w:p w14:paraId="2595A79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As disposições transitórias do artigo 57.</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os</w:t>
            </w:r>
            <w:r w:rsidRPr="007B1664">
              <w:rPr>
                <w:rFonts w:ascii="Times New Roman" w:hAnsi="Times New Roman"/>
              </w:rPr>
              <w:t> 3 e 4, do Regulamento (UE) 2019/2033 não devem ser tidas em conta relat</w:t>
            </w:r>
            <w:r w:rsidRPr="007B1664">
              <w:rPr>
                <w:rFonts w:ascii="Times New Roman" w:hAnsi="Times New Roman"/>
              </w:rPr>
              <w:t>ivamente a este elemento.</w:t>
            </w:r>
          </w:p>
        </w:tc>
      </w:tr>
      <w:tr w:rsidR="000B1B99" w:rsidRPr="007B1664" w14:paraId="59452B76" w14:textId="77777777">
        <w:tc>
          <w:tcPr>
            <w:tcW w:w="1129" w:type="dxa"/>
          </w:tcPr>
          <w:p w14:paraId="34618F5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1DC5A54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Rácio dos FP1</w:t>
            </w:r>
          </w:p>
          <w:p w14:paraId="4261402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b), e artigo 11.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27E6B89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Este elemento é expresso em percentagem.</w:t>
            </w:r>
          </w:p>
        </w:tc>
      </w:tr>
      <w:tr w:rsidR="000B1B99" w:rsidRPr="007B1664" w14:paraId="40F55421" w14:textId="77777777">
        <w:tc>
          <w:tcPr>
            <w:tcW w:w="1129" w:type="dxa"/>
          </w:tcPr>
          <w:p w14:paraId="4DA1323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Pr>
          <w:p w14:paraId="3C0F8A5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Excedente(+)/Défice(–) dos FP1</w:t>
            </w:r>
          </w:p>
          <w:p w14:paraId="3B3A43AE" w14:textId="77777777" w:rsidR="000B1B99" w:rsidRPr="007B1664" w:rsidRDefault="007B1664">
            <w:pPr>
              <w:pStyle w:val="CommentText"/>
              <w:rPr>
                <w:rFonts w:ascii="Times New Roman" w:hAnsi="Times New Roman" w:cs="Times New Roman"/>
                <w:sz w:val="22"/>
                <w:szCs w:val="22"/>
              </w:rPr>
            </w:pPr>
            <w:r w:rsidRPr="007B1664">
              <w:rPr>
                <w:rFonts w:ascii="Times New Roman" w:hAnsi="Times New Roman"/>
              </w:rPr>
              <w:t xml:space="preserve">Este elemento apresenta o excedente ou o </w:t>
            </w:r>
            <w:r w:rsidRPr="007B1664">
              <w:rPr>
                <w:rFonts w:ascii="Times New Roman" w:hAnsi="Times New Roman"/>
              </w:rPr>
              <w:t>défice de FP1 relacionado com o requisito estabelecido no artigo 9.</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do Regulamento (UE) 2019/2033.</w:t>
            </w:r>
          </w:p>
          <w:p w14:paraId="45434686" w14:textId="77777777" w:rsidR="000B1B99" w:rsidRPr="007B1664" w:rsidRDefault="007B1664">
            <w:pPr>
              <w:spacing w:after="120" w:line="240" w:lineRule="auto"/>
              <w:jc w:val="both"/>
            </w:pPr>
            <w:r w:rsidRPr="007B1664">
              <w:rPr>
                <w:rFonts w:ascii="Times New Roman" w:hAnsi="Times New Roman"/>
              </w:rPr>
              <w:t>As disposições transitórias do artigo 57.</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os</w:t>
            </w:r>
            <w:r w:rsidRPr="007B1664">
              <w:rPr>
                <w:rFonts w:ascii="Times New Roman" w:hAnsi="Times New Roman"/>
              </w:rPr>
              <w:t> 3 e 4, do Regulamento (UE) 2019/2033 não devem ser tidas em conta relativamente a este elemento.</w:t>
            </w:r>
          </w:p>
        </w:tc>
      </w:tr>
      <w:tr w:rsidR="000B1B99" w:rsidRPr="007B1664" w14:paraId="2B1D029D" w14:textId="77777777">
        <w:tc>
          <w:tcPr>
            <w:tcW w:w="1129" w:type="dxa"/>
          </w:tcPr>
          <w:p w14:paraId="1EA93A7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w:t>
            </w:r>
            <w:r w:rsidRPr="007B1664">
              <w:rPr>
                <w:rFonts w:ascii="Times New Roman" w:hAnsi="Times New Roman"/>
                <w:bCs/>
              </w:rPr>
              <w:t>050</w:t>
            </w:r>
          </w:p>
        </w:tc>
        <w:tc>
          <w:tcPr>
            <w:tcW w:w="7620" w:type="dxa"/>
          </w:tcPr>
          <w:p w14:paraId="5D350E8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Rácio de fundos próprios</w:t>
            </w:r>
          </w:p>
          <w:p w14:paraId="577BDB7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c), e artigo 11.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45A020F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Este elemento é expresso em percentagem.</w:t>
            </w:r>
          </w:p>
        </w:tc>
      </w:tr>
      <w:tr w:rsidR="000B1B99" w:rsidRPr="007B1664" w14:paraId="43998BD9" w14:textId="77777777">
        <w:tc>
          <w:tcPr>
            <w:tcW w:w="1129" w:type="dxa"/>
          </w:tcPr>
          <w:p w14:paraId="12FA0FF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Pr>
          <w:p w14:paraId="1E4227E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Excedente(+)/Défice(–) de fundos próprios totais</w:t>
            </w:r>
          </w:p>
          <w:p w14:paraId="6B02A2B6"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rPr>
              <w:t xml:space="preserve">Este elemento apresenta o excedente ou o </w:t>
            </w:r>
            <w:r w:rsidRPr="007B1664">
              <w:rPr>
                <w:rFonts w:ascii="Times New Roman" w:hAnsi="Times New Roman"/>
              </w:rPr>
              <w:t>défice de fundos próprios relacionado com o requisito estabelecido no artigo 9.</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do Regulamento (UE) 2019/2033.</w:t>
            </w:r>
          </w:p>
          <w:p w14:paraId="5F29045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As disposições transitórias do artigo 57.</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os</w:t>
            </w:r>
            <w:r w:rsidRPr="007B1664">
              <w:rPr>
                <w:rFonts w:ascii="Times New Roman" w:hAnsi="Times New Roman"/>
              </w:rPr>
              <w:t xml:space="preserve"> 3 e 4, do Regulamento (UE) 2019/2033 não devem ser tidas em conta relativamente a este </w:t>
            </w:r>
            <w:r w:rsidRPr="007B1664">
              <w:rPr>
                <w:rFonts w:ascii="Times New Roman" w:hAnsi="Times New Roman"/>
              </w:rPr>
              <w:t>elemento.</w:t>
            </w:r>
          </w:p>
        </w:tc>
      </w:tr>
    </w:tbl>
    <w:p w14:paraId="7496EDC7"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3"/>
          <w:szCs w:val="23"/>
          <w:u w:val="single"/>
        </w:rPr>
      </w:pPr>
      <w:bookmarkStart w:id="33" w:name="_Toc88247668"/>
      <w:r w:rsidRPr="007B1664">
        <w:rPr>
          <w:rFonts w:ascii="Times New Roman" w:hAnsi="Times New Roman"/>
          <w:sz w:val="24"/>
          <w:szCs w:val="24"/>
          <w:u w:val="single"/>
        </w:rPr>
        <w:t xml:space="preserve">1.5. I 03.00 – </w:t>
      </w:r>
      <w:r w:rsidRPr="007B1664">
        <w:rPr>
          <w:rFonts w:ascii="Times New Roman" w:hAnsi="Times New Roman"/>
          <w:sz w:val="23"/>
          <w:szCs w:val="23"/>
          <w:u w:val="single"/>
        </w:rPr>
        <w:t>CÁLCULO DO REQUISITO BASEADO NAS DESPESAS GERAIS FIXAS (I 3)</w:t>
      </w:r>
      <w:bookmarkEnd w:id="2"/>
      <w:bookmarkEnd w:id="3"/>
      <w:bookmarkEnd w:id="33"/>
      <w:bookmarkEnd w:id="4"/>
      <w:bookmarkEnd w:id="5"/>
    </w:p>
    <w:p w14:paraId="5D2CE55A" w14:textId="77777777" w:rsidR="000B1B99" w:rsidRPr="007B1664" w:rsidRDefault="007B1664">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8247669"/>
      <w:r w:rsidRPr="007B1664">
        <w:rPr>
          <w:rFonts w:ascii="Times New Roman" w:hAnsi="Times New Roman"/>
          <w:sz w:val="24"/>
          <w:szCs w:val="24"/>
        </w:rPr>
        <w:t>1.5.1.</w:t>
      </w:r>
      <w:r w:rsidRPr="007B1664">
        <w:rPr>
          <w:rFonts w:ascii="Times New Roman" w:hAnsi="Times New Roman"/>
          <w:sz w:val="24"/>
          <w:szCs w:val="24"/>
        </w:rPr>
        <w:tab/>
      </w:r>
      <w:bookmarkStart w:id="39" w:name="_Toc308175821"/>
      <w:r w:rsidRPr="007B1664">
        <w:rPr>
          <w:rFonts w:ascii="Times New Roman" w:hAnsi="Times New Roman"/>
          <w:sz w:val="24"/>
          <w:szCs w:val="24"/>
          <w:u w:val="single"/>
        </w:rPr>
        <w:t xml:space="preserve">Instruções relativas a posições </w:t>
      </w:r>
      <w:bookmarkEnd w:id="39"/>
      <w:bookmarkEnd w:id="34"/>
      <w:r w:rsidRPr="007B1664">
        <w:rPr>
          <w:rFonts w:ascii="Times New Roman" w:hAnsi="Times New Roman"/>
          <w:sz w:val="24"/>
          <w:szCs w:val="24"/>
          <w:u w:val="single"/>
        </w:rPr>
        <w:t>específicas</w:t>
      </w:r>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2D8AC659" w14:textId="77777777">
        <w:tc>
          <w:tcPr>
            <w:tcW w:w="1129" w:type="dxa"/>
            <w:shd w:val="clear" w:color="auto" w:fill="D9D9D9"/>
          </w:tcPr>
          <w:p w14:paraId="1E67837E"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color w:val="000000" w:themeColor="text1"/>
              </w:rPr>
              <w:t>Linha</w:t>
            </w:r>
          </w:p>
        </w:tc>
        <w:tc>
          <w:tcPr>
            <w:tcW w:w="7620" w:type="dxa"/>
            <w:shd w:val="clear" w:color="auto" w:fill="D9D9D9"/>
          </w:tcPr>
          <w:p w14:paraId="042C2B6E"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color w:val="000000" w:themeColor="text1"/>
              </w:rPr>
              <w:t>Referências jurídicas e instruções</w:t>
            </w:r>
          </w:p>
        </w:tc>
      </w:tr>
      <w:tr w:rsidR="000B1B99" w:rsidRPr="007B1664" w14:paraId="696AB8E5" w14:textId="77777777">
        <w:tc>
          <w:tcPr>
            <w:tcW w:w="1129" w:type="dxa"/>
          </w:tcPr>
          <w:p w14:paraId="3FE7FE54"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0010</w:t>
            </w:r>
          </w:p>
        </w:tc>
        <w:tc>
          <w:tcPr>
            <w:tcW w:w="7620" w:type="dxa"/>
          </w:tcPr>
          <w:p w14:paraId="4214A69F"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baseado nas despesas gerais fixas</w:t>
            </w:r>
          </w:p>
          <w:p w14:paraId="2D48EDE4"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lastRenderedPageBreak/>
              <w:t>Artigo 13.</w:t>
            </w:r>
            <w:r w:rsidRPr="007B1664">
              <w:rPr>
                <w:rFonts w:ascii="Times New Roman" w:hAnsi="Times New Roman"/>
                <w:bCs/>
                <w:color w:val="000000" w:themeColor="text1"/>
                <w:vertAlign w:val="superscript"/>
              </w:rPr>
              <w:t>o</w:t>
            </w:r>
            <w:r w:rsidRPr="007B1664">
              <w:rPr>
                <w:rFonts w:ascii="Times New Roman" w:hAnsi="Times New Roman"/>
                <w:bCs/>
                <w:color w:val="000000" w:themeColor="text1"/>
              </w:rPr>
              <w:t>, n.</w:t>
            </w:r>
            <w:r w:rsidRPr="007B1664">
              <w:rPr>
                <w:rFonts w:ascii="Times New Roman" w:hAnsi="Times New Roman"/>
                <w:bCs/>
                <w:color w:val="000000" w:themeColor="text1"/>
                <w:vertAlign w:val="superscript"/>
              </w:rPr>
              <w:t>o</w:t>
            </w:r>
            <w:r w:rsidRPr="007B1664">
              <w:rPr>
                <w:rFonts w:ascii="Times New Roman" w:hAnsi="Times New Roman"/>
                <w:bCs/>
                <w:color w:val="000000" w:themeColor="text1"/>
              </w:rPr>
              <w:t xml:space="preserve"> 1, do </w:t>
            </w:r>
            <w:r w:rsidRPr="007B1664">
              <w:rPr>
                <w:rFonts w:ascii="Times New Roman" w:hAnsi="Times New Roman"/>
                <w:bCs/>
                <w:color w:val="000000" w:themeColor="text1"/>
              </w:rPr>
              <w:t>Regulamento (UE) 2019/2033.</w:t>
            </w:r>
          </w:p>
          <w:p w14:paraId="61DB0C48"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rPr>
              <w:t>O montante comunicado deve corresponder a, pelo menos, 25 % das despesas gerais fixas anuais do ano anterior (linha 0020).</w:t>
            </w:r>
          </w:p>
          <w:p w14:paraId="2B7318CC"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rPr>
              <w:t>Nos casos em que se verifique uma alteração significativa, o montante comunicado deve corresponder ao req</w:t>
            </w:r>
            <w:r w:rsidRPr="007B1664">
              <w:rPr>
                <w:rFonts w:ascii="Times New Roman" w:hAnsi="Times New Roman"/>
              </w:rPr>
              <w:t>uisito baseado nas despesas gerais fixas imposto pela autoridade competente em conformidade com o artigo 13.</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2, do Regulamento (UE) 2019/2033.</w:t>
            </w:r>
          </w:p>
          <w:p w14:paraId="798B2080"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rPr>
              <w:t>Nos casos especificados no artigo 13.</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3, do Regulamento (UE) 2019/2033, o montante a comunicar deve c</w:t>
            </w:r>
            <w:r w:rsidRPr="007B1664">
              <w:rPr>
                <w:rFonts w:ascii="Times New Roman" w:hAnsi="Times New Roman"/>
              </w:rPr>
              <w:t>orresponder às despesas gerais fixas projetadas do ano em curso (linha 0210).</w:t>
            </w:r>
          </w:p>
        </w:tc>
      </w:tr>
      <w:tr w:rsidR="000B1B99" w:rsidRPr="007B1664" w14:paraId="4B2373DF" w14:textId="77777777">
        <w:tc>
          <w:tcPr>
            <w:tcW w:w="1129" w:type="dxa"/>
          </w:tcPr>
          <w:p w14:paraId="3E4426B2"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lastRenderedPageBreak/>
              <w:t>0020</w:t>
            </w:r>
          </w:p>
        </w:tc>
        <w:tc>
          <w:tcPr>
            <w:tcW w:w="7620" w:type="dxa"/>
          </w:tcPr>
          <w:p w14:paraId="578D5E05"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Despesas gerais fixas anuais do ano anterior após a distribuição de lucros</w:t>
            </w:r>
          </w:p>
          <w:p w14:paraId="655CBA1C"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315CAB46" w14:textId="77777777" w:rsidR="000B1B99" w:rsidRPr="007B1664" w:rsidRDefault="007B1664">
            <w:pPr>
              <w:pStyle w:val="CommentText"/>
              <w:rPr>
                <w:rFonts w:ascii="Times New Roman" w:hAnsi="Times New Roman" w:cs="Times New Roman"/>
              </w:rPr>
            </w:pPr>
            <w:r w:rsidRPr="007B1664">
              <w:rPr>
                <w:rFonts w:ascii="Times New Roman" w:hAnsi="Times New Roman"/>
                <w:bCs/>
                <w:color w:val="000000" w:themeColor="text1"/>
                <w:sz w:val="22"/>
              </w:rPr>
              <w:t>As empresas de investimento devem comunicar as</w:t>
            </w:r>
            <w:r w:rsidRPr="007B1664">
              <w:rPr>
                <w:rFonts w:ascii="Times New Roman" w:hAnsi="Times New Roman"/>
                <w:bCs/>
                <w:color w:val="000000" w:themeColor="text1"/>
                <w:sz w:val="22"/>
              </w:rPr>
              <w:t xml:space="preserve"> despesas gerais fixas do ano anterior após a distribuição dos lucros. </w:t>
            </w:r>
          </w:p>
        </w:tc>
      </w:tr>
      <w:tr w:rsidR="000B1B99" w:rsidRPr="007B1664" w14:paraId="5328C1E0" w14:textId="77777777">
        <w:tc>
          <w:tcPr>
            <w:tcW w:w="1129" w:type="dxa"/>
          </w:tcPr>
          <w:p w14:paraId="2A210AE1"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0030</w:t>
            </w:r>
          </w:p>
        </w:tc>
        <w:tc>
          <w:tcPr>
            <w:tcW w:w="7620" w:type="dxa"/>
          </w:tcPr>
          <w:p w14:paraId="50AB1D8C"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Total das despesas do ano anterior após a distribuição de lucros</w:t>
            </w:r>
          </w:p>
          <w:p w14:paraId="4F996C75"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4BE2B439"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 xml:space="preserve">O montante a comunicar deve corresponder ao montante após a </w:t>
            </w:r>
            <w:r w:rsidRPr="007B1664">
              <w:rPr>
                <w:rFonts w:ascii="Times New Roman" w:hAnsi="Times New Roman"/>
                <w:bCs/>
                <w:color w:val="000000" w:themeColor="text1"/>
              </w:rPr>
              <w:t>distribuição dos lucros.</w:t>
            </w:r>
          </w:p>
        </w:tc>
      </w:tr>
      <w:tr w:rsidR="000B1B99" w:rsidRPr="007B1664" w14:paraId="16E57D28" w14:textId="77777777">
        <w:tc>
          <w:tcPr>
            <w:tcW w:w="1129" w:type="dxa"/>
          </w:tcPr>
          <w:p w14:paraId="5DA2A00A"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0040</w:t>
            </w:r>
          </w:p>
        </w:tc>
        <w:tc>
          <w:tcPr>
            <w:tcW w:w="7620" w:type="dxa"/>
          </w:tcPr>
          <w:p w14:paraId="42E28E87"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Sendo: Despesas fixas incorridas por terceiros em nome das empresas de investimento</w:t>
            </w:r>
          </w:p>
          <w:p w14:paraId="0882A44B" w14:textId="77777777" w:rsidR="000B1B99" w:rsidRPr="007B1664" w:rsidRDefault="007B1664">
            <w:pPr>
              <w:pStyle w:val="NumPar1"/>
              <w:numPr>
                <w:ilvl w:val="0"/>
                <w:numId w:val="0"/>
              </w:numPr>
              <w:rPr>
                <w:rFonts w:eastAsia="Times New Roman"/>
                <w:b/>
                <w:bCs/>
                <w:color w:val="000000" w:themeColor="text1"/>
                <w:u w:val="single"/>
              </w:rPr>
            </w:pPr>
            <w:r w:rsidRPr="007B1664">
              <w:rPr>
                <w:bCs/>
                <w:color w:val="000000" w:themeColor="text1"/>
                <w:szCs w:val="20"/>
              </w:rPr>
              <w:t xml:space="preserve">Caso terceiros, incluindo agentes vinculados, tenham incorrido em despesas fixas, em nome das empresas de investimento, que não </w:t>
            </w:r>
            <w:r w:rsidRPr="007B1664">
              <w:rPr>
                <w:bCs/>
                <w:color w:val="000000" w:themeColor="text1"/>
                <w:szCs w:val="20"/>
              </w:rPr>
              <w:t>estejam já incluídas nas despesas totais da demonstração financeira anual a que se refere o n.</w:t>
            </w:r>
            <w:r w:rsidRPr="007B1664">
              <w:rPr>
                <w:bCs/>
                <w:color w:val="000000" w:themeColor="text1"/>
                <w:szCs w:val="20"/>
                <w:vertAlign w:val="superscript"/>
              </w:rPr>
              <w:t>o</w:t>
            </w:r>
            <w:r w:rsidRPr="007B1664">
              <w:rPr>
                <w:bCs/>
                <w:color w:val="000000" w:themeColor="text1"/>
                <w:szCs w:val="20"/>
              </w:rPr>
              <w:t xml:space="preserve"> 1, essas despesas fixas devem ser adicionadas às despesas totais da empresa de investimento. Quando estiver disponível uma repartição das despesas do terceiro, </w:t>
            </w:r>
            <w:r w:rsidRPr="007B1664">
              <w:rPr>
                <w:bCs/>
                <w:color w:val="000000" w:themeColor="text1"/>
                <w:szCs w:val="20"/>
              </w:rPr>
              <w:t xml:space="preserve">a empresa de investimento deve adicionar ao valor que representa as despesas totais apenas a parte dessas despesas fixas aplicável à empresa de investimento. Se essa repartição não estiver disponível, as empresas de investimento devem acrescentar ao valor </w:t>
            </w:r>
            <w:r w:rsidRPr="007B1664">
              <w:rPr>
                <w:bCs/>
                <w:color w:val="000000" w:themeColor="text1"/>
                <w:szCs w:val="20"/>
              </w:rPr>
              <w:t>que representa as despesas totais apenas a sua parte das despesas do terceiro, tal como resulta do plano de negócios da empresa de investimento.</w:t>
            </w:r>
          </w:p>
        </w:tc>
      </w:tr>
      <w:tr w:rsidR="000B1B99" w:rsidRPr="007B1664" w14:paraId="36FC8BC6" w14:textId="77777777">
        <w:tc>
          <w:tcPr>
            <w:tcW w:w="1129" w:type="dxa"/>
          </w:tcPr>
          <w:p w14:paraId="7CFF2BF0"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0050</w:t>
            </w:r>
          </w:p>
        </w:tc>
        <w:tc>
          <w:tcPr>
            <w:tcW w:w="7620" w:type="dxa"/>
          </w:tcPr>
          <w:p w14:paraId="6445902B" w14:textId="77777777" w:rsidR="000B1B99" w:rsidRPr="007B1664" w:rsidRDefault="007B1664">
            <w:pPr>
              <w:spacing w:after="120" w:line="240" w:lineRule="auto"/>
              <w:jc w:val="both"/>
              <w:rPr>
                <w:rFonts w:ascii="Times New Roman" w:eastAsia="Times New Roman" w:hAnsi="Times New Roman" w:cs="Times New Roman"/>
                <w:bCs/>
                <w:color w:val="000000" w:themeColor="text1"/>
                <w:szCs w:val="20"/>
              </w:rPr>
            </w:pPr>
            <w:r w:rsidRPr="007B1664">
              <w:rPr>
                <w:rFonts w:ascii="Times New Roman" w:hAnsi="Times New Roman"/>
                <w:bCs/>
                <w:color w:val="000000" w:themeColor="text1"/>
                <w:szCs w:val="20"/>
              </w:rPr>
              <w:t>(-) Total das deduções</w:t>
            </w:r>
          </w:p>
          <w:p w14:paraId="5BB8B6BC" w14:textId="77777777" w:rsidR="000B1B99" w:rsidRPr="007B1664" w:rsidRDefault="007B1664">
            <w:pPr>
              <w:spacing w:after="120" w:line="240" w:lineRule="auto"/>
              <w:jc w:val="both"/>
              <w:rPr>
                <w:rFonts w:eastAsia="Times New Roman"/>
                <w:bCs/>
                <w:color w:val="000000" w:themeColor="text1"/>
                <w:szCs w:val="20"/>
              </w:rPr>
            </w:pPr>
            <w:r w:rsidRPr="007B1664">
              <w:rPr>
                <w:rFonts w:ascii="Times New Roman" w:hAnsi="Times New Roman"/>
                <w:bCs/>
              </w:rPr>
              <w:t>Para além dos elementos de dedução a que se refere o 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do Regula</w:t>
            </w:r>
            <w:r w:rsidRPr="007B1664">
              <w:rPr>
                <w:rFonts w:ascii="Times New Roman" w:hAnsi="Times New Roman"/>
                <w:bCs/>
              </w:rPr>
              <w:t>mento (UE) 2019/2033, devem também ser deduzidos das despesas totais os seguintes elementos, caso sejam incluídos nas despesas totais em conformidade com o quadro contabilístico aplicável:</w:t>
            </w:r>
          </w:p>
          <w:p w14:paraId="58472077" w14:textId="77777777" w:rsidR="000B1B99" w:rsidRPr="007B1664" w:rsidRDefault="007B1664">
            <w:pPr>
              <w:pStyle w:val="Point1letter"/>
              <w:numPr>
                <w:ilvl w:val="0"/>
                <w:numId w:val="0"/>
              </w:numPr>
              <w:ind w:left="350" w:hanging="426"/>
              <w:rPr>
                <w:rFonts w:eastAsia="Times New Roman"/>
                <w:bCs/>
                <w:color w:val="000000" w:themeColor="text1"/>
                <w:sz w:val="22"/>
                <w:szCs w:val="20"/>
              </w:rPr>
            </w:pPr>
            <w:r w:rsidRPr="007B1664">
              <w:rPr>
                <w:rFonts w:eastAsia="Times New Roman"/>
                <w:bCs/>
                <w:color w:val="000000" w:themeColor="text1"/>
                <w:sz w:val="22"/>
                <w:szCs w:val="20"/>
              </w:rPr>
              <w:t>a)</w:t>
            </w:r>
            <w:r w:rsidRPr="007B1664">
              <w:rPr>
                <w:rFonts w:eastAsia="Times New Roman"/>
                <w:bCs/>
                <w:color w:val="000000" w:themeColor="text1"/>
                <w:sz w:val="22"/>
                <w:szCs w:val="20"/>
              </w:rPr>
              <w:tab/>
            </w:r>
            <w:r w:rsidRPr="007B1664">
              <w:rPr>
                <w:bCs/>
                <w:color w:val="000000" w:themeColor="text1"/>
                <w:sz w:val="22"/>
                <w:szCs w:val="20"/>
              </w:rPr>
              <w:t xml:space="preserve">remunerações, corretagem e outros encargos pagos a </w:t>
            </w:r>
            <w:r w:rsidRPr="007B1664">
              <w:rPr>
                <w:bCs/>
                <w:color w:val="000000" w:themeColor="text1"/>
                <w:sz w:val="22"/>
                <w:szCs w:val="20"/>
              </w:rPr>
              <w:t>contrapartes centrais, bolsas e outras plataformas de negociação e corretores intermediários para efeitos de execução, registo ou compensação de transações, apenas se forem diretamente repercutidos e cobrados aos clientes. Não incluem as remunerações e out</w:t>
            </w:r>
            <w:r w:rsidRPr="007B1664">
              <w:rPr>
                <w:bCs/>
                <w:color w:val="000000" w:themeColor="text1"/>
                <w:sz w:val="22"/>
                <w:szCs w:val="20"/>
              </w:rPr>
              <w:t>ros encargos necessários para manter a qualidade de membro ou cumprir de outra forma obrigações financeiras de partilha de perdas para com contrapartes centrais, bolsas e outras plataformas de negociação;</w:t>
            </w:r>
          </w:p>
          <w:p w14:paraId="3BB54AB9" w14:textId="77777777" w:rsidR="000B1B99" w:rsidRPr="007B1664" w:rsidRDefault="007B1664">
            <w:pPr>
              <w:pStyle w:val="Point1letter"/>
              <w:numPr>
                <w:ilvl w:val="0"/>
                <w:numId w:val="0"/>
              </w:numPr>
              <w:ind w:left="350" w:hanging="426"/>
              <w:rPr>
                <w:rFonts w:eastAsia="Times New Roman"/>
                <w:bCs/>
                <w:color w:val="000000" w:themeColor="text1"/>
                <w:sz w:val="22"/>
                <w:szCs w:val="20"/>
              </w:rPr>
            </w:pPr>
            <w:r w:rsidRPr="007B1664">
              <w:rPr>
                <w:rFonts w:eastAsia="Times New Roman"/>
                <w:bCs/>
                <w:color w:val="000000" w:themeColor="text1"/>
                <w:sz w:val="22"/>
                <w:szCs w:val="20"/>
              </w:rPr>
              <w:t>b)</w:t>
            </w:r>
            <w:r w:rsidRPr="007B1664">
              <w:rPr>
                <w:rFonts w:eastAsia="Times New Roman"/>
                <w:bCs/>
                <w:color w:val="000000" w:themeColor="text1"/>
                <w:sz w:val="22"/>
                <w:szCs w:val="20"/>
              </w:rPr>
              <w:tab/>
            </w:r>
            <w:r w:rsidRPr="007B1664">
              <w:rPr>
                <w:bCs/>
                <w:color w:val="000000" w:themeColor="text1"/>
                <w:sz w:val="22"/>
                <w:szCs w:val="20"/>
              </w:rPr>
              <w:t>juros pagos aos clientes sobre fundos de cliente</w:t>
            </w:r>
            <w:r w:rsidRPr="007B1664">
              <w:rPr>
                <w:bCs/>
                <w:color w:val="000000" w:themeColor="text1"/>
                <w:sz w:val="22"/>
                <w:szCs w:val="20"/>
              </w:rPr>
              <w:t>s, quando não exista qualquer obrigação de os pagar;</w:t>
            </w:r>
          </w:p>
          <w:p w14:paraId="35007EB6" w14:textId="77777777" w:rsidR="000B1B99" w:rsidRPr="007B1664" w:rsidRDefault="007B1664">
            <w:pPr>
              <w:pStyle w:val="Point1letter"/>
              <w:numPr>
                <w:ilvl w:val="0"/>
                <w:numId w:val="0"/>
              </w:numPr>
              <w:ind w:left="350" w:hanging="426"/>
              <w:rPr>
                <w:rFonts w:eastAsia="Times New Roman"/>
                <w:bCs/>
                <w:color w:val="000000" w:themeColor="text1"/>
                <w:sz w:val="22"/>
                <w:szCs w:val="20"/>
              </w:rPr>
            </w:pPr>
            <w:r w:rsidRPr="007B1664">
              <w:rPr>
                <w:rFonts w:eastAsia="Times New Roman"/>
                <w:bCs/>
                <w:color w:val="000000" w:themeColor="text1"/>
                <w:sz w:val="22"/>
                <w:szCs w:val="20"/>
              </w:rPr>
              <w:lastRenderedPageBreak/>
              <w:t>c)</w:t>
            </w:r>
            <w:r w:rsidRPr="007B1664">
              <w:rPr>
                <w:rFonts w:eastAsia="Times New Roman"/>
                <w:bCs/>
                <w:color w:val="000000" w:themeColor="text1"/>
                <w:sz w:val="22"/>
                <w:szCs w:val="20"/>
              </w:rPr>
              <w:tab/>
            </w:r>
            <w:r w:rsidRPr="007B1664">
              <w:rPr>
                <w:bCs/>
                <w:color w:val="000000" w:themeColor="text1"/>
                <w:sz w:val="22"/>
                <w:szCs w:val="20"/>
              </w:rPr>
              <w:t>despesas provenientes de impostos devidos em relação aos lucros anuais da empresa de investimento;</w:t>
            </w:r>
          </w:p>
          <w:p w14:paraId="6F09EE58" w14:textId="77777777" w:rsidR="000B1B99" w:rsidRPr="007B1664" w:rsidRDefault="007B1664">
            <w:pPr>
              <w:pStyle w:val="Point1letter"/>
              <w:numPr>
                <w:ilvl w:val="0"/>
                <w:numId w:val="0"/>
              </w:numPr>
              <w:ind w:left="350" w:hanging="426"/>
              <w:rPr>
                <w:rFonts w:eastAsia="Times New Roman"/>
                <w:bCs/>
                <w:color w:val="000000" w:themeColor="text1"/>
                <w:sz w:val="22"/>
                <w:szCs w:val="20"/>
              </w:rPr>
            </w:pPr>
            <w:r w:rsidRPr="007B1664">
              <w:rPr>
                <w:rFonts w:eastAsia="Times New Roman"/>
                <w:bCs/>
                <w:color w:val="000000" w:themeColor="text1"/>
                <w:sz w:val="22"/>
                <w:szCs w:val="20"/>
              </w:rPr>
              <w:t>d)</w:t>
            </w:r>
            <w:r w:rsidRPr="007B1664">
              <w:rPr>
                <w:rFonts w:eastAsia="Times New Roman"/>
                <w:bCs/>
                <w:color w:val="000000" w:themeColor="text1"/>
                <w:sz w:val="22"/>
                <w:szCs w:val="20"/>
              </w:rPr>
              <w:tab/>
            </w:r>
            <w:r w:rsidRPr="007B1664">
              <w:rPr>
                <w:bCs/>
                <w:color w:val="000000" w:themeColor="text1"/>
                <w:sz w:val="22"/>
                <w:szCs w:val="20"/>
              </w:rPr>
              <w:t>perdas decorrentes da negociação por conta própria em instrumentos financeiros;</w:t>
            </w:r>
          </w:p>
          <w:p w14:paraId="6B09AB30" w14:textId="77777777" w:rsidR="000B1B99" w:rsidRPr="007B1664" w:rsidRDefault="007B1664">
            <w:pPr>
              <w:pStyle w:val="Point1letter"/>
              <w:numPr>
                <w:ilvl w:val="0"/>
                <w:numId w:val="0"/>
              </w:numPr>
              <w:ind w:left="350" w:hanging="426"/>
              <w:rPr>
                <w:rFonts w:eastAsia="Times New Roman"/>
                <w:bCs/>
                <w:color w:val="000000" w:themeColor="text1"/>
                <w:sz w:val="22"/>
                <w:szCs w:val="20"/>
              </w:rPr>
            </w:pPr>
            <w:r w:rsidRPr="007B1664">
              <w:rPr>
                <w:rFonts w:eastAsia="Times New Roman"/>
                <w:bCs/>
                <w:color w:val="000000" w:themeColor="text1"/>
                <w:sz w:val="22"/>
                <w:szCs w:val="20"/>
              </w:rPr>
              <w:t>e)</w:t>
            </w:r>
            <w:r w:rsidRPr="007B1664">
              <w:rPr>
                <w:rFonts w:eastAsia="Times New Roman"/>
                <w:bCs/>
                <w:color w:val="000000" w:themeColor="text1"/>
                <w:sz w:val="22"/>
                <w:szCs w:val="20"/>
              </w:rPr>
              <w:tab/>
            </w:r>
            <w:r w:rsidRPr="007B1664">
              <w:rPr>
                <w:bCs/>
                <w:color w:val="000000" w:themeColor="text1"/>
                <w:sz w:val="22"/>
                <w:szCs w:val="20"/>
              </w:rPr>
              <w:t>pagamentos rela</w:t>
            </w:r>
            <w:r w:rsidRPr="007B1664">
              <w:rPr>
                <w:bCs/>
                <w:color w:val="000000" w:themeColor="text1"/>
                <w:sz w:val="22"/>
                <w:szCs w:val="20"/>
              </w:rPr>
              <w:t>cionados com acordos de transferência de resultados baseados em contratos, segundo os quais a empresa de investimento é obrigada a transferir, após a elaboração das suas demonstrações financeiras anuais, o seu resultado anual para a empresa-mãe;</w:t>
            </w:r>
          </w:p>
          <w:p w14:paraId="6CF94F24" w14:textId="77777777" w:rsidR="000B1B99" w:rsidRPr="007B1664" w:rsidRDefault="007B1664">
            <w:pPr>
              <w:pStyle w:val="Point1letter"/>
              <w:numPr>
                <w:ilvl w:val="0"/>
                <w:numId w:val="0"/>
              </w:numPr>
              <w:ind w:left="350" w:hanging="426"/>
              <w:rPr>
                <w:rFonts w:eastAsia="Times New Roman"/>
                <w:bCs/>
                <w:color w:val="000000" w:themeColor="text1"/>
                <w:sz w:val="22"/>
                <w:szCs w:val="20"/>
              </w:rPr>
            </w:pPr>
            <w:r w:rsidRPr="007B1664">
              <w:rPr>
                <w:rFonts w:eastAsia="Times New Roman"/>
                <w:bCs/>
                <w:color w:val="000000" w:themeColor="text1"/>
                <w:sz w:val="22"/>
                <w:szCs w:val="20"/>
              </w:rPr>
              <w:t>f)</w:t>
            </w:r>
            <w:r w:rsidRPr="007B1664">
              <w:rPr>
                <w:rFonts w:eastAsia="Times New Roman"/>
                <w:bCs/>
                <w:color w:val="000000" w:themeColor="text1"/>
                <w:sz w:val="22"/>
                <w:szCs w:val="20"/>
              </w:rPr>
              <w:tab/>
            </w:r>
            <w:r w:rsidRPr="007B1664">
              <w:rPr>
                <w:bCs/>
              </w:rPr>
              <w:t>pagamen</w:t>
            </w:r>
            <w:r w:rsidRPr="007B1664">
              <w:rPr>
                <w:bCs/>
              </w:rPr>
              <w:t>tos para um fundo para riscos bancários gerais em conformidade com o artigo 26.</w:t>
            </w:r>
            <w:r w:rsidRPr="007B1664">
              <w:rPr>
                <w:bCs/>
                <w:vertAlign w:val="superscript"/>
              </w:rPr>
              <w:t>o</w:t>
            </w:r>
            <w:r w:rsidRPr="007B1664">
              <w:rPr>
                <w:bCs/>
              </w:rPr>
              <w:t>, n.</w:t>
            </w:r>
            <w:r w:rsidRPr="007B1664">
              <w:rPr>
                <w:bCs/>
                <w:vertAlign w:val="superscript"/>
              </w:rPr>
              <w:t>o</w:t>
            </w:r>
            <w:r w:rsidRPr="007B1664">
              <w:rPr>
                <w:bCs/>
              </w:rPr>
              <w:t> 1, alínea f), do Regulamento (UE) n.</w:t>
            </w:r>
            <w:r w:rsidRPr="007B1664">
              <w:rPr>
                <w:bCs/>
                <w:vertAlign w:val="superscript"/>
              </w:rPr>
              <w:t>o</w:t>
            </w:r>
            <w:r w:rsidRPr="007B1664">
              <w:rPr>
                <w:bCs/>
              </w:rPr>
              <w:t> 575/2013;</w:t>
            </w:r>
          </w:p>
          <w:p w14:paraId="335DF7EA" w14:textId="77777777" w:rsidR="000B1B99" w:rsidRPr="007B1664" w:rsidRDefault="007B1664">
            <w:pPr>
              <w:pStyle w:val="Point1letter"/>
              <w:numPr>
                <w:ilvl w:val="0"/>
                <w:numId w:val="0"/>
              </w:numPr>
              <w:ind w:left="350" w:hanging="426"/>
              <w:rPr>
                <w:rFonts w:eastAsia="Times New Roman"/>
                <w:bCs/>
                <w:color w:val="000000" w:themeColor="text1"/>
                <w:szCs w:val="20"/>
              </w:rPr>
            </w:pPr>
            <w:r w:rsidRPr="007B1664">
              <w:rPr>
                <w:rFonts w:eastAsia="Times New Roman"/>
                <w:bCs/>
                <w:color w:val="000000" w:themeColor="text1"/>
                <w:szCs w:val="20"/>
              </w:rPr>
              <w:t>g)</w:t>
            </w:r>
            <w:r w:rsidRPr="007B1664">
              <w:rPr>
                <w:rFonts w:eastAsia="Times New Roman"/>
                <w:bCs/>
                <w:color w:val="000000" w:themeColor="text1"/>
                <w:szCs w:val="20"/>
              </w:rPr>
              <w:tab/>
            </w:r>
            <w:r w:rsidRPr="007B1664">
              <w:rPr>
                <w:bCs/>
              </w:rPr>
              <w:t>despesas relacionadas com elementos que já tenham sido deduzidos aos fundos próprios em conformidade com o artigo 36.</w:t>
            </w:r>
            <w:r w:rsidRPr="007B1664">
              <w:rPr>
                <w:bCs/>
                <w:vertAlign w:val="superscript"/>
              </w:rPr>
              <w:t>o</w:t>
            </w:r>
            <w:r w:rsidRPr="007B1664">
              <w:rPr>
                <w:bCs/>
              </w:rPr>
              <w:t>,</w:t>
            </w:r>
            <w:r w:rsidRPr="007B1664">
              <w:rPr>
                <w:bCs/>
              </w:rPr>
              <w:t xml:space="preserve"> n.</w:t>
            </w:r>
            <w:r w:rsidRPr="007B1664">
              <w:rPr>
                <w:bCs/>
                <w:vertAlign w:val="superscript"/>
              </w:rPr>
              <w:t>o</w:t>
            </w:r>
            <w:r w:rsidRPr="007B1664">
              <w:rPr>
                <w:bCs/>
              </w:rPr>
              <w:t> 1, do Regulamento (UE) n.</w:t>
            </w:r>
            <w:r w:rsidRPr="007B1664">
              <w:rPr>
                <w:bCs/>
                <w:vertAlign w:val="superscript"/>
              </w:rPr>
              <w:t>o</w:t>
            </w:r>
            <w:r w:rsidRPr="007B1664">
              <w:rPr>
                <w:bCs/>
              </w:rPr>
              <w:t> 575/2013.</w:t>
            </w:r>
          </w:p>
        </w:tc>
      </w:tr>
      <w:tr w:rsidR="000B1B99" w:rsidRPr="007B1664" w14:paraId="7808ADF7" w14:textId="77777777">
        <w:tc>
          <w:tcPr>
            <w:tcW w:w="1129" w:type="dxa"/>
          </w:tcPr>
          <w:p w14:paraId="118AF483"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lastRenderedPageBreak/>
              <w:t>0060</w:t>
            </w:r>
          </w:p>
        </w:tc>
        <w:tc>
          <w:tcPr>
            <w:tcW w:w="7620" w:type="dxa"/>
          </w:tcPr>
          <w:p w14:paraId="1AD3074E"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Prémios ao pessoal e outras remunerações</w:t>
            </w:r>
          </w:p>
          <w:p w14:paraId="2CCBFA47"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alínea a), do Regulamento (UE) 2019/2033.</w:t>
            </w:r>
          </w:p>
          <w:p w14:paraId="284D3F73" w14:textId="77777777" w:rsidR="000B1B99" w:rsidRPr="007B1664" w:rsidRDefault="007B1664">
            <w:pPr>
              <w:pStyle w:val="NumPar1"/>
              <w:numPr>
                <w:ilvl w:val="0"/>
                <w:numId w:val="0"/>
              </w:numPr>
              <w:rPr>
                <w:rFonts w:eastAsia="Times New Roman"/>
                <w:bCs/>
                <w:color w:val="000000" w:themeColor="text1"/>
                <w:sz w:val="22"/>
                <w:szCs w:val="20"/>
              </w:rPr>
            </w:pPr>
            <w:r w:rsidRPr="007B1664">
              <w:rPr>
                <w:bCs/>
                <w:color w:val="000000" w:themeColor="text1"/>
                <w:sz w:val="22"/>
                <w:szCs w:val="20"/>
              </w:rPr>
              <w:t xml:space="preserve">Considera-se que os prémios ao pessoal e outras remunerações dependem do lucro líquido da </w:t>
            </w:r>
            <w:r w:rsidRPr="007B1664">
              <w:rPr>
                <w:bCs/>
                <w:color w:val="000000" w:themeColor="text1"/>
                <w:sz w:val="22"/>
                <w:szCs w:val="20"/>
              </w:rPr>
              <w:t>empresa de investimento no ano em causa se estiverem preenchidas ambas as seguintes condições:</w:t>
            </w:r>
          </w:p>
          <w:p w14:paraId="3687E775" w14:textId="77777777" w:rsidR="000B1B99" w:rsidRPr="007B1664" w:rsidRDefault="007B1664">
            <w:pPr>
              <w:pStyle w:val="Point1letter"/>
              <w:numPr>
                <w:ilvl w:val="0"/>
                <w:numId w:val="0"/>
              </w:numPr>
              <w:ind w:left="350" w:hanging="350"/>
              <w:rPr>
                <w:rFonts w:eastAsia="Times New Roman"/>
                <w:bCs/>
                <w:color w:val="000000" w:themeColor="text1"/>
                <w:sz w:val="22"/>
                <w:szCs w:val="20"/>
              </w:rPr>
            </w:pPr>
            <w:r w:rsidRPr="007B1664">
              <w:rPr>
                <w:rFonts w:eastAsia="Times New Roman"/>
                <w:bCs/>
                <w:color w:val="000000" w:themeColor="text1"/>
                <w:sz w:val="22"/>
                <w:szCs w:val="20"/>
              </w:rPr>
              <w:t>h)</w:t>
            </w:r>
            <w:r w:rsidRPr="007B1664">
              <w:rPr>
                <w:rFonts w:eastAsia="Times New Roman"/>
                <w:bCs/>
                <w:color w:val="000000" w:themeColor="text1"/>
                <w:sz w:val="22"/>
                <w:szCs w:val="20"/>
              </w:rPr>
              <w:tab/>
            </w:r>
            <w:r w:rsidRPr="007B1664">
              <w:rPr>
                <w:bCs/>
                <w:color w:val="000000" w:themeColor="text1"/>
                <w:sz w:val="22"/>
                <w:szCs w:val="20"/>
              </w:rPr>
              <w:t>os prémios ao pessoal ou outras remunerações a deduzir já foram pagos aos empregados no ano anterior ao ano de pagamento, ou o pagamento dos prémios ao pessoa</w:t>
            </w:r>
            <w:r w:rsidRPr="007B1664">
              <w:rPr>
                <w:bCs/>
                <w:color w:val="000000" w:themeColor="text1"/>
                <w:sz w:val="22"/>
                <w:szCs w:val="20"/>
              </w:rPr>
              <w:t>l ou de outras remunerações aos empregados não terá qualquer impacto na posição de capital da empresa no ano de pagamento;</w:t>
            </w:r>
          </w:p>
          <w:p w14:paraId="16C754B0" w14:textId="77777777" w:rsidR="000B1B99" w:rsidRPr="007B1664" w:rsidRDefault="007B1664">
            <w:pPr>
              <w:pStyle w:val="Point1letter"/>
              <w:numPr>
                <w:ilvl w:val="0"/>
                <w:numId w:val="0"/>
              </w:numPr>
              <w:ind w:left="350" w:hanging="350"/>
              <w:rPr>
                <w:rFonts w:eastAsia="Times New Roman"/>
                <w:bCs/>
                <w:color w:val="000000" w:themeColor="text1"/>
              </w:rPr>
            </w:pPr>
            <w:r w:rsidRPr="007B1664">
              <w:rPr>
                <w:rFonts w:eastAsia="Times New Roman"/>
                <w:bCs/>
                <w:color w:val="000000" w:themeColor="text1"/>
              </w:rPr>
              <w:t>i)</w:t>
            </w:r>
            <w:r w:rsidRPr="007B1664">
              <w:rPr>
                <w:rFonts w:eastAsia="Times New Roman"/>
                <w:bCs/>
                <w:color w:val="000000" w:themeColor="text1"/>
              </w:rPr>
              <w:tab/>
            </w:r>
            <w:r w:rsidRPr="007B1664">
              <w:rPr>
                <w:bCs/>
                <w:color w:val="000000" w:themeColor="text1"/>
                <w:szCs w:val="20"/>
              </w:rPr>
              <w:t>no que diz respeito ao ano em curso e aos anos futuros, a empresa não é obrigada a conceder ou atribuir outros prémios ou pagament</w:t>
            </w:r>
            <w:r w:rsidRPr="007B1664">
              <w:rPr>
                <w:bCs/>
                <w:color w:val="000000" w:themeColor="text1"/>
                <w:szCs w:val="20"/>
              </w:rPr>
              <w:t>os sob a forma de remuneração, a menos que obtenha um lucro líquido nesse ano.</w:t>
            </w:r>
          </w:p>
        </w:tc>
      </w:tr>
      <w:tr w:rsidR="000B1B99" w:rsidRPr="007B1664" w14:paraId="46221DA4" w14:textId="77777777">
        <w:tc>
          <w:tcPr>
            <w:tcW w:w="1129" w:type="dxa"/>
          </w:tcPr>
          <w:p w14:paraId="0006C842"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0070</w:t>
            </w:r>
          </w:p>
        </w:tc>
        <w:tc>
          <w:tcPr>
            <w:tcW w:w="7620" w:type="dxa"/>
          </w:tcPr>
          <w:p w14:paraId="1F3D3244"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Participações dos empregados, administradores e sócios nos lucros líquidos</w:t>
            </w:r>
          </w:p>
          <w:p w14:paraId="09BE2D94" w14:textId="77777777" w:rsidR="000B1B99" w:rsidRPr="007B1664" w:rsidRDefault="007B1664">
            <w:pPr>
              <w:spacing w:after="120" w:line="240" w:lineRule="auto"/>
              <w:jc w:val="both"/>
              <w:rPr>
                <w:rFonts w:eastAsia="Times New Roman"/>
                <w:bCs/>
                <w:color w:val="000000" w:themeColor="text1"/>
              </w:rPr>
            </w:pPr>
            <w:r w:rsidRPr="007B1664">
              <w:rPr>
                <w:rFonts w:ascii="Times New Roman" w:hAnsi="Times New Roman"/>
                <w:bCs/>
              </w:rPr>
              <w:t>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alínea b), do Regulamento (UE) 2019/2033.</w:t>
            </w:r>
          </w:p>
          <w:p w14:paraId="5FE743D5"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szCs w:val="20"/>
              </w:rPr>
              <w:t>A parte dos trabalhadores, dos</w:t>
            </w:r>
            <w:r w:rsidRPr="007B1664">
              <w:rPr>
                <w:rFonts w:ascii="Times New Roman" w:hAnsi="Times New Roman"/>
                <w:bCs/>
                <w:color w:val="000000" w:themeColor="text1"/>
                <w:szCs w:val="20"/>
              </w:rPr>
              <w:t xml:space="preserve"> administradores e dos sócios nos lucros é calculada com base nos lucros líquidos.</w:t>
            </w:r>
          </w:p>
        </w:tc>
      </w:tr>
      <w:tr w:rsidR="000B1B99" w:rsidRPr="007B1664" w14:paraId="7C77DC6D" w14:textId="77777777">
        <w:tc>
          <w:tcPr>
            <w:tcW w:w="1129" w:type="dxa"/>
          </w:tcPr>
          <w:p w14:paraId="25D7FF8F"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0080</w:t>
            </w:r>
          </w:p>
        </w:tc>
        <w:tc>
          <w:tcPr>
            <w:tcW w:w="7620" w:type="dxa"/>
          </w:tcPr>
          <w:p w14:paraId="6A73E8C3"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Outros pagamentos discricionários de lucros e remunerações variáveis</w:t>
            </w:r>
          </w:p>
          <w:p w14:paraId="7BB57C8B"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alínea c), do Regulamento (UE) 2019/2033.</w:t>
            </w:r>
          </w:p>
        </w:tc>
      </w:tr>
      <w:tr w:rsidR="000B1B99" w:rsidRPr="007B1664" w14:paraId="2C89DC19" w14:textId="77777777">
        <w:tc>
          <w:tcPr>
            <w:tcW w:w="1129" w:type="dxa"/>
          </w:tcPr>
          <w:p w14:paraId="1D502C39"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0090</w:t>
            </w:r>
          </w:p>
        </w:tc>
        <w:tc>
          <w:tcPr>
            <w:tcW w:w="7620" w:type="dxa"/>
          </w:tcPr>
          <w:p w14:paraId="27BD4C78"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xml:space="preserve">(-) Comissões e </w:t>
            </w:r>
            <w:r w:rsidRPr="007B1664">
              <w:rPr>
                <w:rFonts w:ascii="Times New Roman" w:hAnsi="Times New Roman"/>
                <w:b/>
                <w:bCs/>
                <w:color w:val="000000" w:themeColor="text1"/>
                <w:u w:val="single"/>
              </w:rPr>
              <w:t>remunerações partilhados a pagar</w:t>
            </w:r>
          </w:p>
          <w:p w14:paraId="242B4F31"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alínea d), do Regulamento (UE) 2019/2033.</w:t>
            </w:r>
          </w:p>
        </w:tc>
      </w:tr>
      <w:tr w:rsidR="000B1B99" w:rsidRPr="007B1664" w14:paraId="4AC60C86" w14:textId="77777777">
        <w:tc>
          <w:tcPr>
            <w:tcW w:w="1129" w:type="dxa"/>
          </w:tcPr>
          <w:p w14:paraId="3FCD87FE"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0100</w:t>
            </w:r>
          </w:p>
        </w:tc>
        <w:tc>
          <w:tcPr>
            <w:tcW w:w="7620" w:type="dxa"/>
          </w:tcPr>
          <w:p w14:paraId="4AE6FE1A"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Comissões, corretagem e outros encargos pagos às CCP imputados aos clientes</w:t>
            </w:r>
          </w:p>
          <w:p w14:paraId="1AAF1BB1" w14:textId="77777777" w:rsidR="000B1B99" w:rsidRPr="007B1664" w:rsidRDefault="007B1664">
            <w:pPr>
              <w:pStyle w:val="Point1letter"/>
              <w:numPr>
                <w:ilvl w:val="0"/>
                <w:numId w:val="0"/>
              </w:numPr>
              <w:rPr>
                <w:rFonts w:eastAsia="Times New Roman"/>
                <w:bCs/>
                <w:color w:val="000000" w:themeColor="text1"/>
              </w:rPr>
            </w:pPr>
            <w:r w:rsidRPr="007B1664">
              <w:rPr>
                <w:bCs/>
                <w:color w:val="000000" w:themeColor="text1"/>
              </w:rPr>
              <w:t>Remunerações, corretagem e outros encargos pagos a contrapartes centrais, b</w:t>
            </w:r>
            <w:r w:rsidRPr="007B1664">
              <w:rPr>
                <w:bCs/>
                <w:color w:val="000000" w:themeColor="text1"/>
              </w:rPr>
              <w:t>olsas e outras plataformas de negociação e corretores intermediários para efeitos de execução, registo ou compensação de transações, apenas se forem diretamente repercutidos e cobrados aos clientes. Não incluem as remunerações e outros encargos necessários</w:t>
            </w:r>
            <w:r w:rsidRPr="007B1664">
              <w:rPr>
                <w:bCs/>
                <w:color w:val="000000" w:themeColor="text1"/>
              </w:rPr>
              <w:t xml:space="preserve"> para manter a qualidade de membro ou cumprir de outra forma obrigações financeiras de partilha de perdas para com contrapartes centrais, bolsas e outras plataformas de negociação; </w:t>
            </w:r>
          </w:p>
        </w:tc>
      </w:tr>
      <w:tr w:rsidR="000B1B99" w:rsidRPr="007B1664" w14:paraId="49539A9D" w14:textId="77777777">
        <w:tc>
          <w:tcPr>
            <w:tcW w:w="1129" w:type="dxa"/>
          </w:tcPr>
          <w:p w14:paraId="2ADB4580"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0110</w:t>
            </w:r>
          </w:p>
        </w:tc>
        <w:tc>
          <w:tcPr>
            <w:tcW w:w="7620" w:type="dxa"/>
          </w:tcPr>
          <w:p w14:paraId="39060AA7"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Remunerações de agentes vinculados;</w:t>
            </w:r>
          </w:p>
          <w:p w14:paraId="37D389A0"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lastRenderedPageBreak/>
              <w:t>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alínea e</w:t>
            </w:r>
            <w:r w:rsidRPr="007B1664">
              <w:rPr>
                <w:rFonts w:ascii="Times New Roman" w:hAnsi="Times New Roman"/>
                <w:bCs/>
              </w:rPr>
              <w:t>), do Regulamento (UE) 2019/2033.</w:t>
            </w:r>
          </w:p>
        </w:tc>
      </w:tr>
      <w:tr w:rsidR="000B1B99" w:rsidRPr="007B1664" w14:paraId="74521377" w14:textId="77777777">
        <w:tc>
          <w:tcPr>
            <w:tcW w:w="1129" w:type="dxa"/>
          </w:tcPr>
          <w:p w14:paraId="275F4A8F"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lastRenderedPageBreak/>
              <w:t>0120</w:t>
            </w:r>
          </w:p>
        </w:tc>
        <w:tc>
          <w:tcPr>
            <w:tcW w:w="7620" w:type="dxa"/>
          </w:tcPr>
          <w:p w14:paraId="0DBC1B68"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Juros pagos aos clientes sobre fundos de clientes, se tal estiver ao critério da empresa</w:t>
            </w:r>
          </w:p>
          <w:p w14:paraId="047414E4"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Juros pagos aos clientes sobre fundos de clientes, quando não exista qualquer obrigação de os pagar;</w:t>
            </w:r>
          </w:p>
        </w:tc>
      </w:tr>
      <w:tr w:rsidR="000B1B99" w:rsidRPr="007B1664" w14:paraId="43891F51" w14:textId="77777777">
        <w:tc>
          <w:tcPr>
            <w:tcW w:w="1129" w:type="dxa"/>
          </w:tcPr>
          <w:p w14:paraId="0BC1B59E"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0130</w:t>
            </w:r>
          </w:p>
        </w:tc>
        <w:tc>
          <w:tcPr>
            <w:tcW w:w="7620" w:type="dxa"/>
          </w:tcPr>
          <w:p w14:paraId="21612BC4"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Despesas pon</w:t>
            </w:r>
            <w:r w:rsidRPr="007B1664">
              <w:rPr>
                <w:rFonts w:ascii="Times New Roman" w:hAnsi="Times New Roman"/>
                <w:b/>
                <w:bCs/>
                <w:color w:val="000000" w:themeColor="text1"/>
                <w:u w:val="single"/>
              </w:rPr>
              <w:t>tuais de atividades extraordinárias</w:t>
            </w:r>
          </w:p>
          <w:p w14:paraId="27D8CEFA"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alínea f), do Regulamento (UE) 2019/2033.</w:t>
            </w:r>
          </w:p>
        </w:tc>
      </w:tr>
      <w:tr w:rsidR="000B1B99" w:rsidRPr="007B1664" w14:paraId="02B7A886" w14:textId="77777777">
        <w:tc>
          <w:tcPr>
            <w:tcW w:w="1129" w:type="dxa"/>
          </w:tcPr>
          <w:p w14:paraId="7E833FBD"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0140</w:t>
            </w:r>
          </w:p>
          <w:p w14:paraId="0C312349" w14:textId="77777777" w:rsidR="000B1B99" w:rsidRPr="007B1664" w:rsidRDefault="000B1B99">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5423511B" w14:textId="77777777" w:rsidR="000B1B99" w:rsidRPr="007B1664" w:rsidRDefault="007B1664">
            <w:pPr>
              <w:spacing w:after="120" w:line="240" w:lineRule="auto"/>
              <w:jc w:val="both"/>
              <w:rPr>
                <w:rFonts w:ascii="Times New Roman" w:eastAsia="Times New Roman" w:hAnsi="Times New Roman" w:cs="Times New Roman"/>
                <w:bCs/>
                <w:color w:val="000000" w:themeColor="text1"/>
                <w:u w:val="single"/>
              </w:rPr>
            </w:pPr>
            <w:r w:rsidRPr="007B1664">
              <w:rPr>
                <w:rFonts w:ascii="Times New Roman" w:hAnsi="Times New Roman"/>
                <w:b/>
                <w:bCs/>
                <w:color w:val="000000" w:themeColor="text1"/>
                <w:u w:val="single"/>
              </w:rPr>
              <w:t>(-) Despesas decorrentes de impostos</w:t>
            </w:r>
          </w:p>
          <w:p w14:paraId="69EB4B61" w14:textId="77777777" w:rsidR="000B1B99" w:rsidRPr="007B1664" w:rsidRDefault="007B1664">
            <w:pPr>
              <w:spacing w:after="120" w:line="240" w:lineRule="auto"/>
              <w:jc w:val="both"/>
              <w:rPr>
                <w:rFonts w:ascii="Times New Roman" w:eastAsia="Times New Roman" w:hAnsi="Times New Roman" w:cs="Times New Roman"/>
                <w:color w:val="000000" w:themeColor="text1"/>
              </w:rPr>
            </w:pPr>
            <w:r w:rsidRPr="007B1664">
              <w:rPr>
                <w:rFonts w:ascii="Times New Roman" w:hAnsi="Times New Roman"/>
                <w:bCs/>
                <w:color w:val="000000" w:themeColor="text1"/>
              </w:rPr>
              <w:t>Despesas provenientes de impostos devidos em relação aos lucros anuais da empresa de investimento.</w:t>
            </w:r>
          </w:p>
        </w:tc>
      </w:tr>
      <w:tr w:rsidR="000B1B99" w:rsidRPr="007B1664" w14:paraId="24707F0F" w14:textId="77777777">
        <w:tc>
          <w:tcPr>
            <w:tcW w:w="1129" w:type="dxa"/>
          </w:tcPr>
          <w:p w14:paraId="5AC8DFD0"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0150</w:t>
            </w:r>
          </w:p>
        </w:tc>
        <w:tc>
          <w:tcPr>
            <w:tcW w:w="7620" w:type="dxa"/>
          </w:tcPr>
          <w:p w14:paraId="673F252D"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xml:space="preserve">(-) </w:t>
            </w:r>
            <w:r w:rsidRPr="007B1664">
              <w:rPr>
                <w:rFonts w:ascii="Times New Roman" w:hAnsi="Times New Roman"/>
                <w:b/>
                <w:bCs/>
                <w:color w:val="000000" w:themeColor="text1"/>
                <w:u w:val="single"/>
              </w:rPr>
              <w:t>Perdas decorrentes da negociação por conta própria em instrumentos financeiros</w:t>
            </w:r>
          </w:p>
          <w:p w14:paraId="7C820E6E"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Perdas decorrentes da negociação por conta própria em instrumentos financeiros.</w:t>
            </w:r>
          </w:p>
        </w:tc>
      </w:tr>
      <w:tr w:rsidR="000B1B99" w:rsidRPr="007B1664" w14:paraId="5B1401E4" w14:textId="77777777">
        <w:tc>
          <w:tcPr>
            <w:tcW w:w="1129" w:type="dxa"/>
          </w:tcPr>
          <w:p w14:paraId="0AC727E9"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0160</w:t>
            </w:r>
          </w:p>
        </w:tc>
        <w:tc>
          <w:tcPr>
            <w:tcW w:w="7620" w:type="dxa"/>
          </w:tcPr>
          <w:p w14:paraId="1552D7BC"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Acordos de transferência de resultados baseados em contratos</w:t>
            </w:r>
          </w:p>
          <w:p w14:paraId="262B02B8"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Pagamentos relacionados co</w:t>
            </w:r>
            <w:r w:rsidRPr="007B1664">
              <w:rPr>
                <w:rFonts w:ascii="Times New Roman" w:hAnsi="Times New Roman"/>
                <w:bCs/>
                <w:color w:val="000000" w:themeColor="text1"/>
              </w:rPr>
              <w:t xml:space="preserve">m acordos de transferência de resultados baseados em contratos, segundo os quais a empresa de investimento é obrigada a transferir, após a elaboração das suas demonstrações financeiras anuais, o seu resultado anual para a empresa-mãe. </w:t>
            </w:r>
          </w:p>
        </w:tc>
      </w:tr>
      <w:tr w:rsidR="000B1B99" w:rsidRPr="007B1664" w14:paraId="763B3A77" w14:textId="77777777">
        <w:tc>
          <w:tcPr>
            <w:tcW w:w="1129" w:type="dxa"/>
          </w:tcPr>
          <w:p w14:paraId="299978BF"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0170</w:t>
            </w:r>
          </w:p>
        </w:tc>
        <w:tc>
          <w:tcPr>
            <w:tcW w:w="7620" w:type="dxa"/>
          </w:tcPr>
          <w:p w14:paraId="7FBA06F5"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Despesas c</w:t>
            </w:r>
            <w:r w:rsidRPr="007B1664">
              <w:rPr>
                <w:rFonts w:ascii="Times New Roman" w:hAnsi="Times New Roman"/>
                <w:b/>
                <w:bCs/>
                <w:color w:val="000000" w:themeColor="text1"/>
                <w:u w:val="single"/>
              </w:rPr>
              <w:t>om matérias-primas</w:t>
            </w:r>
          </w:p>
          <w:p w14:paraId="1EA9E176"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 xml:space="preserve">Os operadores de mercadorias e de licenças de emissão podem deduzir as despesas com matérias-primas relacionadas com uma empresa de investimento que negoceie derivados da mercadoria subjacente. </w:t>
            </w:r>
          </w:p>
        </w:tc>
      </w:tr>
      <w:tr w:rsidR="000B1B99" w:rsidRPr="007B1664" w14:paraId="26A5D91F" w14:textId="77777777">
        <w:tc>
          <w:tcPr>
            <w:tcW w:w="1129" w:type="dxa"/>
          </w:tcPr>
          <w:p w14:paraId="593ED5D3"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0180</w:t>
            </w:r>
          </w:p>
        </w:tc>
        <w:tc>
          <w:tcPr>
            <w:tcW w:w="7620" w:type="dxa"/>
          </w:tcPr>
          <w:p w14:paraId="5A9DDD63"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xml:space="preserve">(-) Pagamentos para um fundo </w:t>
            </w:r>
            <w:r w:rsidRPr="007B1664">
              <w:rPr>
                <w:rFonts w:ascii="Times New Roman" w:hAnsi="Times New Roman"/>
                <w:b/>
                <w:bCs/>
                <w:color w:val="000000" w:themeColor="text1"/>
                <w:u w:val="single"/>
              </w:rPr>
              <w:t>relativamente ao risco bancário geral</w:t>
            </w:r>
          </w:p>
          <w:p w14:paraId="754301B8" w14:textId="77777777" w:rsidR="000B1B99" w:rsidRPr="007B1664" w:rsidRDefault="007B1664">
            <w:pPr>
              <w:pStyle w:val="Point1letter"/>
              <w:numPr>
                <w:ilvl w:val="0"/>
                <w:numId w:val="0"/>
              </w:numPr>
              <w:rPr>
                <w:rFonts w:eastAsia="Times New Roman"/>
                <w:b/>
                <w:bCs/>
                <w:color w:val="000000" w:themeColor="text1"/>
                <w:sz w:val="22"/>
                <w:u w:val="single"/>
              </w:rPr>
            </w:pPr>
            <w:r w:rsidRPr="007B1664">
              <w:t>Pagamentos para um fundo para riscos bancários gerais em conformidade com o artigo 26.</w:t>
            </w:r>
            <w:r w:rsidRPr="007B1664">
              <w:rPr>
                <w:vertAlign w:val="superscript"/>
              </w:rPr>
              <w:t>o</w:t>
            </w:r>
            <w:r w:rsidRPr="007B1664">
              <w:t>, n.</w:t>
            </w:r>
            <w:r w:rsidRPr="007B1664">
              <w:rPr>
                <w:vertAlign w:val="superscript"/>
              </w:rPr>
              <w:t>o</w:t>
            </w:r>
            <w:r w:rsidRPr="007B1664">
              <w:t> 1, alínea f), do Regulamento (UE) n.</w:t>
            </w:r>
            <w:r w:rsidRPr="007B1664">
              <w:rPr>
                <w:vertAlign w:val="superscript"/>
              </w:rPr>
              <w:t>o</w:t>
            </w:r>
            <w:r w:rsidRPr="007B1664">
              <w:t> 575/2013.</w:t>
            </w:r>
          </w:p>
        </w:tc>
      </w:tr>
      <w:tr w:rsidR="000B1B99" w:rsidRPr="007B1664" w14:paraId="2FECFDC9" w14:textId="77777777">
        <w:tc>
          <w:tcPr>
            <w:tcW w:w="1129" w:type="dxa"/>
          </w:tcPr>
          <w:p w14:paraId="438735AE"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0190</w:t>
            </w:r>
          </w:p>
        </w:tc>
        <w:tc>
          <w:tcPr>
            <w:tcW w:w="7620" w:type="dxa"/>
          </w:tcPr>
          <w:p w14:paraId="35232FA0"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xml:space="preserve">(-) Despesas relacionadas com elementos já deduzidos aos fundos </w:t>
            </w:r>
            <w:r w:rsidRPr="007B1664">
              <w:rPr>
                <w:rFonts w:ascii="Times New Roman" w:hAnsi="Times New Roman"/>
                <w:b/>
                <w:bCs/>
                <w:color w:val="000000" w:themeColor="text1"/>
                <w:u w:val="single"/>
              </w:rPr>
              <w:t>próprios</w:t>
            </w:r>
          </w:p>
          <w:p w14:paraId="21E6D7AE"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Despesas relacionadas com elementos que já tenham sido deduzidos aos fundos próprios em conformidade com o artigo 36.</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5321DAC2" w14:textId="77777777">
        <w:tc>
          <w:tcPr>
            <w:tcW w:w="1129" w:type="dxa"/>
          </w:tcPr>
          <w:p w14:paraId="31D0DE1D"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0200</w:t>
            </w:r>
          </w:p>
        </w:tc>
        <w:tc>
          <w:tcPr>
            <w:tcW w:w="7620" w:type="dxa"/>
          </w:tcPr>
          <w:p w14:paraId="34E5CD10"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Despesas gerais fixas previstas do ano em curso</w:t>
            </w:r>
          </w:p>
          <w:p w14:paraId="6EF8A013"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A projeção das despesas gerais fi</w:t>
            </w:r>
            <w:r w:rsidRPr="007B1664">
              <w:rPr>
                <w:rFonts w:ascii="Times New Roman" w:hAnsi="Times New Roman"/>
                <w:bCs/>
                <w:color w:val="000000" w:themeColor="text1"/>
              </w:rPr>
              <w:t>xas do ano em curso após a distribuição dos lucros.</w:t>
            </w:r>
          </w:p>
        </w:tc>
      </w:tr>
      <w:tr w:rsidR="000B1B99" w:rsidRPr="007B1664" w14:paraId="75933CA1" w14:textId="77777777">
        <w:tc>
          <w:tcPr>
            <w:tcW w:w="1129" w:type="dxa"/>
          </w:tcPr>
          <w:p w14:paraId="54D22702"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0210</w:t>
            </w:r>
          </w:p>
        </w:tc>
        <w:tc>
          <w:tcPr>
            <w:tcW w:w="7620" w:type="dxa"/>
          </w:tcPr>
          <w:p w14:paraId="1D2F4C19"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Variação das despesas gerais fixas (%)</w:t>
            </w:r>
          </w:p>
          <w:p w14:paraId="3A8722CA"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O montante deve ser comunicado como o valor absoluto de:</w:t>
            </w:r>
          </w:p>
          <w:p w14:paraId="6D4E72B3"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[(Despesas gerais fixas previstas do ano em curso) - (Despesas gerais fixas anuais do ano anterior)]/(</w:t>
            </w:r>
            <w:r w:rsidRPr="007B1664">
              <w:rPr>
                <w:rFonts w:ascii="Times New Roman" w:hAnsi="Times New Roman"/>
                <w:bCs/>
                <w:color w:val="000000" w:themeColor="text1"/>
              </w:rPr>
              <w:t>Despesas gerais fixas anuais do ano anterior).</w:t>
            </w:r>
          </w:p>
        </w:tc>
      </w:tr>
    </w:tbl>
    <w:p w14:paraId="2C89D337" w14:textId="77777777" w:rsidR="000B1B99" w:rsidRPr="007B1664" w:rsidRDefault="000B1B99">
      <w:pPr>
        <w:spacing w:after="120" w:line="240" w:lineRule="auto"/>
        <w:jc w:val="both"/>
        <w:rPr>
          <w:rFonts w:ascii="Times New Roman" w:eastAsia="Times New Roman" w:hAnsi="Times New Roman" w:cs="Times New Roman"/>
          <w:sz w:val="24"/>
          <w:szCs w:val="24"/>
          <w:lang w:eastAsia="de-DE"/>
        </w:rPr>
      </w:pPr>
    </w:p>
    <w:p w14:paraId="3E78C005"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47670"/>
      <w:r w:rsidRPr="007B1664">
        <w:rPr>
          <w:rFonts w:ascii="Times New Roman" w:hAnsi="Times New Roman"/>
          <w:sz w:val="24"/>
          <w:szCs w:val="24"/>
          <w:u w:val="single"/>
        </w:rPr>
        <w:t>1.6. I 04.00 - CÁLCULOS DO REQUISITO TOTAL BASEADO NOS FATORES K (I 4)</w:t>
      </w:r>
      <w:bookmarkEnd w:id="40"/>
    </w:p>
    <w:p w14:paraId="396B4DE4"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247671"/>
      <w:r w:rsidRPr="007B1664">
        <w:rPr>
          <w:rFonts w:ascii="Times New Roman" w:hAnsi="Times New Roman"/>
          <w:sz w:val="24"/>
          <w:szCs w:val="24"/>
        </w:rPr>
        <w:t>1.6.1.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12FC0C0D" w14:textId="77777777">
        <w:tc>
          <w:tcPr>
            <w:tcW w:w="1129" w:type="dxa"/>
            <w:shd w:val="clear" w:color="auto" w:fill="D9D9D9"/>
          </w:tcPr>
          <w:p w14:paraId="64980801"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color w:val="000000" w:themeColor="text1"/>
              </w:rPr>
              <w:t>Linha</w:t>
            </w:r>
          </w:p>
        </w:tc>
        <w:tc>
          <w:tcPr>
            <w:tcW w:w="7620" w:type="dxa"/>
            <w:shd w:val="clear" w:color="auto" w:fill="D9D9D9"/>
          </w:tcPr>
          <w:p w14:paraId="377808F2"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color w:val="000000" w:themeColor="text1"/>
              </w:rPr>
              <w:t>Referências jurídicas e instruções</w:t>
            </w:r>
          </w:p>
        </w:tc>
      </w:tr>
      <w:tr w:rsidR="000B1B99" w:rsidRPr="007B1664" w14:paraId="63CC5342" w14:textId="77777777">
        <w:tc>
          <w:tcPr>
            <w:tcW w:w="1129" w:type="dxa"/>
          </w:tcPr>
          <w:p w14:paraId="6A6703EB"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lastRenderedPageBreak/>
              <w:t>0010</w:t>
            </w:r>
          </w:p>
        </w:tc>
        <w:tc>
          <w:tcPr>
            <w:tcW w:w="7620" w:type="dxa"/>
          </w:tcPr>
          <w:p w14:paraId="0D0E4D3A"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xml:space="preserve">REQUISITO TOTAL BASEADO NOS </w:t>
            </w:r>
            <w:r w:rsidRPr="007B1664">
              <w:rPr>
                <w:rFonts w:ascii="Times New Roman" w:hAnsi="Times New Roman"/>
                <w:b/>
                <w:bCs/>
                <w:color w:val="000000" w:themeColor="text1"/>
                <w:u w:val="single"/>
              </w:rPr>
              <w:t>FATORES K</w:t>
            </w:r>
          </w:p>
          <w:p w14:paraId="78B57166"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r w:rsidR="000B1B99" w:rsidRPr="007B1664" w14:paraId="6A658B16" w14:textId="77777777">
        <w:tc>
          <w:tcPr>
            <w:tcW w:w="1129" w:type="dxa"/>
          </w:tcPr>
          <w:p w14:paraId="30A2F8E6"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0020</w:t>
            </w:r>
          </w:p>
        </w:tc>
        <w:tc>
          <w:tcPr>
            <w:tcW w:w="7620" w:type="dxa"/>
          </w:tcPr>
          <w:p w14:paraId="773354EF"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Risco relativo ao cliente</w:t>
            </w:r>
          </w:p>
          <w:p w14:paraId="074E5CAC"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16.</w:t>
            </w:r>
            <w:r w:rsidRPr="007B1664">
              <w:rPr>
                <w:rFonts w:ascii="Times New Roman" w:hAnsi="Times New Roman"/>
                <w:bCs/>
                <w:vertAlign w:val="superscript"/>
              </w:rPr>
              <w:t>o</w:t>
            </w:r>
            <w:r w:rsidRPr="007B1664">
              <w:rPr>
                <w:rFonts w:ascii="Times New Roman" w:hAnsi="Times New Roman"/>
                <w:bCs/>
              </w:rPr>
              <w:t xml:space="preserve"> do Regulamento (UE) 2019/2033.</w:t>
            </w:r>
          </w:p>
          <w:p w14:paraId="6445F219"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color w:val="000000" w:themeColor="text1"/>
              </w:rPr>
              <w:t>O montante comunicado deve ser a soma das linhas 0030 a 0080.</w:t>
            </w:r>
          </w:p>
        </w:tc>
      </w:tr>
      <w:tr w:rsidR="000B1B99" w:rsidRPr="007B1664" w14:paraId="256DF64B" w14:textId="77777777">
        <w:tc>
          <w:tcPr>
            <w:tcW w:w="1129" w:type="dxa"/>
          </w:tcPr>
          <w:p w14:paraId="5495BB4F"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0030</w:t>
            </w:r>
          </w:p>
        </w:tc>
        <w:tc>
          <w:tcPr>
            <w:tcW w:w="7620" w:type="dxa"/>
          </w:tcPr>
          <w:p w14:paraId="0F3FAA42"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
                <w:bCs/>
                <w:color w:val="000000" w:themeColor="text1"/>
                <w:u w:val="single"/>
              </w:rPr>
              <w:t>Ativos sob gestão</w:t>
            </w:r>
          </w:p>
          <w:p w14:paraId="18735050"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2, e artigo </w:t>
            </w:r>
            <w:r w:rsidRPr="007B1664">
              <w:rPr>
                <w:rFonts w:ascii="Times New Roman" w:hAnsi="Times New Roman"/>
                <w:bCs/>
              </w:rPr>
              <w:t>17.</w:t>
            </w:r>
            <w:r w:rsidRPr="007B1664">
              <w:rPr>
                <w:rFonts w:ascii="Times New Roman" w:hAnsi="Times New Roman"/>
                <w:bCs/>
                <w:vertAlign w:val="superscript"/>
              </w:rPr>
              <w:t>o</w:t>
            </w:r>
            <w:r w:rsidRPr="007B1664">
              <w:rPr>
                <w:rFonts w:ascii="Times New Roman" w:hAnsi="Times New Roman"/>
                <w:bCs/>
              </w:rPr>
              <w:t xml:space="preserve"> do Regulamento (UE) 2019/2033.</w:t>
            </w:r>
          </w:p>
          <w:p w14:paraId="1ADCD898"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Os ativos sob gestão devem ter em conta a gestão de carteira discricionária e as disposições não discricionárias de consultoria.</w:t>
            </w:r>
          </w:p>
        </w:tc>
      </w:tr>
      <w:tr w:rsidR="000B1B99" w:rsidRPr="007B1664" w14:paraId="092571BC" w14:textId="77777777">
        <w:trPr>
          <w:trHeight w:val="883"/>
        </w:trPr>
        <w:tc>
          <w:tcPr>
            <w:tcW w:w="1129" w:type="dxa"/>
          </w:tcPr>
          <w:p w14:paraId="068E6222"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0040</w:t>
            </w:r>
          </w:p>
        </w:tc>
        <w:tc>
          <w:tcPr>
            <w:tcW w:w="7620" w:type="dxa"/>
          </w:tcPr>
          <w:p w14:paraId="1F575F63"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Fundos de clientes detidos - Segregados</w:t>
            </w:r>
          </w:p>
          <w:p w14:paraId="75F312CE"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e artigo 18.</w:t>
            </w:r>
            <w:r w:rsidRPr="007B1664">
              <w:rPr>
                <w:rFonts w:ascii="Times New Roman" w:hAnsi="Times New Roman"/>
                <w:bCs/>
                <w:vertAlign w:val="superscript"/>
              </w:rPr>
              <w:t>o</w:t>
            </w:r>
            <w:r w:rsidRPr="007B1664">
              <w:rPr>
                <w:rFonts w:ascii="Times New Roman" w:hAnsi="Times New Roman"/>
                <w:bCs/>
              </w:rPr>
              <w:t xml:space="preserve"> do Regulame</w:t>
            </w:r>
            <w:r w:rsidRPr="007B1664">
              <w:rPr>
                <w:rFonts w:ascii="Times New Roman" w:hAnsi="Times New Roman"/>
                <w:bCs/>
              </w:rPr>
              <w:t>nto (UE) 2019/2033.</w:t>
            </w:r>
          </w:p>
        </w:tc>
      </w:tr>
      <w:tr w:rsidR="000B1B99" w:rsidRPr="007B1664" w14:paraId="3F95BC9C" w14:textId="77777777">
        <w:trPr>
          <w:trHeight w:val="982"/>
        </w:trPr>
        <w:tc>
          <w:tcPr>
            <w:tcW w:w="1129" w:type="dxa"/>
          </w:tcPr>
          <w:p w14:paraId="7C88E760"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0050</w:t>
            </w:r>
          </w:p>
        </w:tc>
        <w:tc>
          <w:tcPr>
            <w:tcW w:w="7620" w:type="dxa"/>
          </w:tcPr>
          <w:p w14:paraId="2B2142EA"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Fundos de clientes detidos - Não segregados</w:t>
            </w:r>
          </w:p>
          <w:p w14:paraId="3610DA5C"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rPr>
              <w:t>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e artigo 18.</w:t>
            </w:r>
            <w:r w:rsidRPr="007B1664">
              <w:rPr>
                <w:rFonts w:ascii="Times New Roman" w:hAnsi="Times New Roman"/>
                <w:bCs/>
                <w:vertAlign w:val="superscript"/>
              </w:rPr>
              <w:t>o</w:t>
            </w:r>
            <w:r w:rsidRPr="007B1664">
              <w:rPr>
                <w:rFonts w:ascii="Times New Roman" w:hAnsi="Times New Roman"/>
                <w:bCs/>
              </w:rPr>
              <w:t xml:space="preserve"> do Regulamento (UE) 2019/2033.</w:t>
            </w:r>
          </w:p>
        </w:tc>
      </w:tr>
      <w:tr w:rsidR="000B1B99" w:rsidRPr="007B1664" w14:paraId="5FA096FF" w14:textId="77777777">
        <w:tc>
          <w:tcPr>
            <w:tcW w:w="1129" w:type="dxa"/>
          </w:tcPr>
          <w:p w14:paraId="6E71878F"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0060</w:t>
            </w:r>
          </w:p>
        </w:tc>
        <w:tc>
          <w:tcPr>
            <w:tcW w:w="7620" w:type="dxa"/>
          </w:tcPr>
          <w:p w14:paraId="146A5F74"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Ativos objeto de guarda e administração</w:t>
            </w:r>
          </w:p>
          <w:p w14:paraId="4FDCAB33"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e artigo 19.</w:t>
            </w:r>
            <w:r w:rsidRPr="007B1664">
              <w:rPr>
                <w:rFonts w:ascii="Times New Roman" w:hAnsi="Times New Roman"/>
                <w:bCs/>
                <w:vertAlign w:val="superscript"/>
              </w:rPr>
              <w:t>o</w:t>
            </w:r>
            <w:r w:rsidRPr="007B1664">
              <w:rPr>
                <w:rFonts w:ascii="Times New Roman" w:hAnsi="Times New Roman"/>
                <w:bCs/>
              </w:rPr>
              <w:t xml:space="preserve"> do Regulamento (UE) 2019/2033.</w:t>
            </w:r>
          </w:p>
        </w:tc>
      </w:tr>
      <w:tr w:rsidR="000B1B99" w:rsidRPr="007B1664" w14:paraId="491E1813" w14:textId="77777777">
        <w:tc>
          <w:tcPr>
            <w:tcW w:w="1129" w:type="dxa"/>
          </w:tcPr>
          <w:p w14:paraId="2ECD9BD0"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0070</w:t>
            </w:r>
          </w:p>
        </w:tc>
        <w:tc>
          <w:tcPr>
            <w:tcW w:w="7620" w:type="dxa"/>
          </w:tcPr>
          <w:p w14:paraId="20DF58F9"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Ordens de clientes tratadas - Transações em numerário</w:t>
            </w:r>
          </w:p>
          <w:p w14:paraId="33651D34"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e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a), do Regulamento (UE) 2019/2033.</w:t>
            </w:r>
          </w:p>
        </w:tc>
      </w:tr>
      <w:tr w:rsidR="000B1B99" w:rsidRPr="007B1664" w14:paraId="17AABFBB" w14:textId="77777777">
        <w:tc>
          <w:tcPr>
            <w:tcW w:w="1129" w:type="dxa"/>
          </w:tcPr>
          <w:p w14:paraId="228E75FC"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0080</w:t>
            </w:r>
          </w:p>
        </w:tc>
        <w:tc>
          <w:tcPr>
            <w:tcW w:w="7620" w:type="dxa"/>
          </w:tcPr>
          <w:p w14:paraId="4E50F94C"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 xml:space="preserve">Ordens de clientes tratadas - Transações de </w:t>
            </w:r>
            <w:r w:rsidRPr="007B1664">
              <w:rPr>
                <w:rFonts w:ascii="Times New Roman" w:hAnsi="Times New Roman"/>
                <w:b/>
                <w:bCs/>
                <w:color w:val="000000" w:themeColor="text1"/>
                <w:u w:val="single"/>
              </w:rPr>
              <w:t>derivados</w:t>
            </w:r>
          </w:p>
          <w:p w14:paraId="1378ADA8"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e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b), do Regulamento (UE) 2019/2033.</w:t>
            </w:r>
          </w:p>
        </w:tc>
      </w:tr>
      <w:tr w:rsidR="000B1B99" w:rsidRPr="007B1664" w14:paraId="3828DB97" w14:textId="77777777">
        <w:tc>
          <w:tcPr>
            <w:tcW w:w="1129" w:type="dxa"/>
          </w:tcPr>
          <w:p w14:paraId="0C8A172B"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0090</w:t>
            </w:r>
          </w:p>
        </w:tc>
        <w:tc>
          <w:tcPr>
            <w:tcW w:w="7620" w:type="dxa"/>
          </w:tcPr>
          <w:p w14:paraId="28A782DF"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Risco relativo ao mercado</w:t>
            </w:r>
          </w:p>
          <w:p w14:paraId="3D546BF8"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21.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6ABEE374"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color w:val="000000" w:themeColor="text1"/>
              </w:rPr>
              <w:t>O montante comunicado deve ser a soma das linhas 0100 a 011</w:t>
            </w:r>
            <w:r w:rsidRPr="007B1664">
              <w:rPr>
                <w:rFonts w:ascii="Times New Roman" w:hAnsi="Times New Roman"/>
                <w:bCs/>
                <w:color w:val="000000" w:themeColor="text1"/>
              </w:rPr>
              <w:t>0.</w:t>
            </w:r>
          </w:p>
        </w:tc>
      </w:tr>
      <w:tr w:rsidR="000B1B99" w:rsidRPr="007B1664" w14:paraId="46F9649D" w14:textId="77777777">
        <w:tc>
          <w:tcPr>
            <w:tcW w:w="1129" w:type="dxa"/>
          </w:tcPr>
          <w:p w14:paraId="127D12C4"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0100</w:t>
            </w:r>
          </w:p>
        </w:tc>
        <w:tc>
          <w:tcPr>
            <w:tcW w:w="7620" w:type="dxa"/>
          </w:tcPr>
          <w:p w14:paraId="634593B0"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correspondente a K-Risco de posição líquida</w:t>
            </w:r>
          </w:p>
          <w:p w14:paraId="7F3FA066"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22.</w:t>
            </w:r>
            <w:r w:rsidRPr="007B1664">
              <w:rPr>
                <w:rFonts w:ascii="Times New Roman" w:hAnsi="Times New Roman"/>
                <w:bCs/>
                <w:vertAlign w:val="superscript"/>
              </w:rPr>
              <w:t>o</w:t>
            </w:r>
            <w:r w:rsidRPr="007B1664">
              <w:rPr>
                <w:rFonts w:ascii="Times New Roman" w:hAnsi="Times New Roman"/>
                <w:bCs/>
              </w:rPr>
              <w:t xml:space="preserve"> do Regulamento (UE) 2019/2033.</w:t>
            </w:r>
          </w:p>
        </w:tc>
      </w:tr>
      <w:tr w:rsidR="000B1B99" w:rsidRPr="007B1664" w14:paraId="4CE4F2E8" w14:textId="77777777">
        <w:tc>
          <w:tcPr>
            <w:tcW w:w="1129" w:type="dxa"/>
          </w:tcPr>
          <w:p w14:paraId="6895A2BD"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0110</w:t>
            </w:r>
          </w:p>
        </w:tc>
        <w:tc>
          <w:tcPr>
            <w:tcW w:w="7620" w:type="dxa"/>
          </w:tcPr>
          <w:p w14:paraId="4F912658"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Margem de compensação concedida</w:t>
            </w:r>
          </w:p>
          <w:p w14:paraId="0E78D736"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23.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tc>
      </w:tr>
      <w:tr w:rsidR="000B1B99" w:rsidRPr="007B1664" w14:paraId="7EDD589C" w14:textId="77777777">
        <w:tc>
          <w:tcPr>
            <w:tcW w:w="1129" w:type="dxa"/>
          </w:tcPr>
          <w:p w14:paraId="06478248"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0120</w:t>
            </w:r>
          </w:p>
        </w:tc>
        <w:tc>
          <w:tcPr>
            <w:tcW w:w="7620" w:type="dxa"/>
          </w:tcPr>
          <w:p w14:paraId="005DA906"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Risco relativo à empresa</w:t>
            </w:r>
          </w:p>
          <w:p w14:paraId="242A0CBE"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24.</w:t>
            </w:r>
            <w:r w:rsidRPr="007B1664">
              <w:rPr>
                <w:rFonts w:ascii="Times New Roman" w:hAnsi="Times New Roman"/>
                <w:bCs/>
                <w:vertAlign w:val="superscript"/>
              </w:rPr>
              <w:t>o</w:t>
            </w:r>
            <w:r w:rsidRPr="007B1664">
              <w:rPr>
                <w:rFonts w:ascii="Times New Roman" w:hAnsi="Times New Roman"/>
                <w:bCs/>
              </w:rPr>
              <w:t xml:space="preserve"> do Regulamento (UE) 2019/2033.</w:t>
            </w:r>
          </w:p>
          <w:p w14:paraId="7C37AC63"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Cs/>
                <w:color w:val="000000" w:themeColor="text1"/>
              </w:rPr>
              <w:t>O montante comunicado deve ser a soma das linhas 0130 a 0160.</w:t>
            </w:r>
          </w:p>
        </w:tc>
      </w:tr>
      <w:tr w:rsidR="000B1B99" w:rsidRPr="007B1664" w14:paraId="4D8EC4A1" w14:textId="77777777">
        <w:tc>
          <w:tcPr>
            <w:tcW w:w="1129" w:type="dxa"/>
          </w:tcPr>
          <w:p w14:paraId="0C9D4240"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0130</w:t>
            </w:r>
          </w:p>
        </w:tc>
        <w:tc>
          <w:tcPr>
            <w:tcW w:w="7620" w:type="dxa"/>
          </w:tcPr>
          <w:p w14:paraId="0803422F"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Incumprimento da contraparte na negociação</w:t>
            </w:r>
          </w:p>
          <w:p w14:paraId="000EA9A5"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Artigos 24.</w:t>
            </w:r>
            <w:r w:rsidRPr="007B1664">
              <w:rPr>
                <w:rFonts w:ascii="Times New Roman" w:hAnsi="Times New Roman"/>
                <w:bCs/>
                <w:vertAlign w:val="superscript"/>
              </w:rPr>
              <w:t>o</w:t>
            </w:r>
            <w:r w:rsidRPr="007B1664">
              <w:rPr>
                <w:rFonts w:ascii="Times New Roman" w:hAnsi="Times New Roman"/>
                <w:bCs/>
              </w:rPr>
              <w:t xml:space="preserve"> e 26.° do Regulamento (UE) 2019/2033.</w:t>
            </w:r>
          </w:p>
        </w:tc>
      </w:tr>
      <w:tr w:rsidR="000B1B99" w:rsidRPr="007B1664" w14:paraId="10553F87" w14:textId="77777777">
        <w:tc>
          <w:tcPr>
            <w:tcW w:w="1129" w:type="dxa"/>
          </w:tcPr>
          <w:p w14:paraId="791A3C56"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0140</w:t>
            </w:r>
          </w:p>
        </w:tc>
        <w:tc>
          <w:tcPr>
            <w:tcW w:w="7620" w:type="dxa"/>
          </w:tcPr>
          <w:p w14:paraId="7E89B3A3"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Fluxo diário de negociação - Transações em numerário</w:t>
            </w:r>
          </w:p>
          <w:p w14:paraId="03BD72EC"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Par</w:t>
            </w:r>
            <w:r w:rsidRPr="007B1664">
              <w:rPr>
                <w:rFonts w:ascii="Times New Roman" w:hAnsi="Times New Roman"/>
                <w:bCs/>
              </w:rPr>
              <w:t>a efeitos do cálculo do requisito baseado nos fatores K, as empresas de investimento devem prestar informações aplicando o coeficiente previsto no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p w14:paraId="15EE8135"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lastRenderedPageBreak/>
              <w:t>Em situação de tensão no mercado, em conformidade com o ar</w:t>
            </w:r>
            <w:r w:rsidRPr="007B1664">
              <w:rPr>
                <w:rFonts w:ascii="Times New Roman" w:hAnsi="Times New Roman"/>
                <w:bCs/>
              </w:rPr>
              <w:t>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alínea c), do Regulamento (UE) 2019/2033, as empresas de investimento devem aplicar um coeficiente ajustado especificado no artigo 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a), da NTR para especificar os ajustamentos aos coeficientes aplicáveis aos fatores K-DT</w:t>
            </w:r>
            <w:r w:rsidRPr="007B1664">
              <w:rPr>
                <w:rFonts w:ascii="Times New Roman" w:hAnsi="Times New Roman"/>
                <w:bCs/>
              </w:rPr>
              <w:t>F (fluxos diários de negociação).</w:t>
            </w:r>
          </w:p>
          <w:p w14:paraId="79DF8DF1"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O fator do fluxo diário de negociação deve ser calculado em conformidade com 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a), do Regulamento (UE) 2019/2033.</w:t>
            </w:r>
          </w:p>
        </w:tc>
      </w:tr>
      <w:tr w:rsidR="000B1B99" w:rsidRPr="007B1664" w14:paraId="362FE41E" w14:textId="77777777">
        <w:tc>
          <w:tcPr>
            <w:tcW w:w="1129" w:type="dxa"/>
          </w:tcPr>
          <w:p w14:paraId="3172E3F4"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lastRenderedPageBreak/>
              <w:t>0150</w:t>
            </w:r>
          </w:p>
        </w:tc>
        <w:tc>
          <w:tcPr>
            <w:tcW w:w="7620" w:type="dxa"/>
          </w:tcPr>
          <w:p w14:paraId="1F9FCD2D"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Fluxo diário de negociação - Transações de derivados</w:t>
            </w:r>
          </w:p>
          <w:p w14:paraId="508F0067"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Para efeitos do cálcul</w:t>
            </w:r>
            <w:r w:rsidRPr="007B1664">
              <w:rPr>
                <w:rFonts w:ascii="Times New Roman" w:hAnsi="Times New Roman"/>
                <w:bCs/>
              </w:rPr>
              <w:t>o do requisito baseado nos fatores K, as empresas de investimento devem prestar informações aplicando o coeficiente previsto no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p w14:paraId="190F4D15"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Em situação de tensão no mercado, em conformidade com o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alínea c), do Regulamento (UE) 2019/2033, as empresas de investimento devem aplicar um coeficiente ajustado especificado no artigo 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b), da NTR para especificar os ajustamentos aos coeficientes aplicáveis aos fatores K-DTF (fluxos diár</w:t>
            </w:r>
            <w:r w:rsidRPr="007B1664">
              <w:rPr>
                <w:rFonts w:ascii="Times New Roman" w:hAnsi="Times New Roman"/>
                <w:bCs/>
              </w:rPr>
              <w:t>ios de negociação).</w:t>
            </w:r>
          </w:p>
          <w:p w14:paraId="7B0CD40D"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O fator do fluxo diário de negociação deve ser calculado em conformidade com 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b), do Regulamento (UE) 2019/2033.</w:t>
            </w:r>
          </w:p>
        </w:tc>
      </w:tr>
      <w:tr w:rsidR="000B1B99" w:rsidRPr="007B1664" w14:paraId="36431792" w14:textId="77777777">
        <w:tc>
          <w:tcPr>
            <w:tcW w:w="1129" w:type="dxa"/>
          </w:tcPr>
          <w:p w14:paraId="664F343A"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color w:val="000000" w:themeColor="text1"/>
              </w:rPr>
              <w:t>0160</w:t>
            </w:r>
          </w:p>
        </w:tc>
        <w:tc>
          <w:tcPr>
            <w:tcW w:w="7620" w:type="dxa"/>
          </w:tcPr>
          <w:p w14:paraId="07939367" w14:textId="77777777" w:rsidR="000B1B99" w:rsidRPr="007B1664" w:rsidRDefault="007B1664">
            <w:pPr>
              <w:spacing w:after="120" w:line="240" w:lineRule="auto"/>
              <w:jc w:val="both"/>
              <w:rPr>
                <w:rFonts w:ascii="Times New Roman" w:eastAsia="Times New Roman" w:hAnsi="Times New Roman" w:cs="Times New Roman"/>
                <w:b/>
                <w:bCs/>
                <w:color w:val="000000" w:themeColor="text1"/>
                <w:u w:val="single"/>
              </w:rPr>
            </w:pPr>
            <w:r w:rsidRPr="007B1664">
              <w:rPr>
                <w:rFonts w:ascii="Times New Roman" w:hAnsi="Times New Roman"/>
                <w:b/>
                <w:bCs/>
                <w:color w:val="000000" w:themeColor="text1"/>
                <w:u w:val="single"/>
              </w:rPr>
              <w:t>Requisito baseado no factor K relativo ao risco de concentração</w:t>
            </w:r>
          </w:p>
          <w:p w14:paraId="438A9356" w14:textId="77777777" w:rsidR="000B1B99" w:rsidRPr="007B1664" w:rsidRDefault="007B1664">
            <w:pPr>
              <w:spacing w:after="120" w:line="240" w:lineRule="auto"/>
              <w:jc w:val="both"/>
              <w:rPr>
                <w:rFonts w:ascii="Times New Roman" w:eastAsia="Times New Roman" w:hAnsi="Times New Roman" w:cs="Times New Roman"/>
                <w:bCs/>
                <w:color w:val="000000" w:themeColor="text1"/>
              </w:rPr>
            </w:pPr>
            <w:r w:rsidRPr="007B1664">
              <w:rPr>
                <w:rFonts w:ascii="Times New Roman" w:hAnsi="Times New Roman"/>
                <w:bCs/>
              </w:rPr>
              <w:t>Artigo 37.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e art</w:t>
            </w:r>
            <w:r w:rsidRPr="007B1664">
              <w:rPr>
                <w:rFonts w:ascii="Times New Roman" w:hAnsi="Times New Roman"/>
                <w:bCs/>
              </w:rPr>
              <w:t>igos 24.</w:t>
            </w:r>
            <w:r w:rsidRPr="007B1664">
              <w:rPr>
                <w:rFonts w:ascii="Times New Roman" w:hAnsi="Times New Roman"/>
                <w:bCs/>
                <w:vertAlign w:val="superscript"/>
              </w:rPr>
              <w:t>o</w:t>
            </w:r>
            <w:r w:rsidRPr="007B1664">
              <w:rPr>
                <w:rFonts w:ascii="Times New Roman" w:hAnsi="Times New Roman"/>
                <w:bCs/>
              </w:rPr>
              <w:t xml:space="preserve"> e 39.° do Regulamento (UE) 2019/2033.</w:t>
            </w:r>
          </w:p>
        </w:tc>
      </w:tr>
    </w:tbl>
    <w:p w14:paraId="46EC00E6" w14:textId="77777777" w:rsidR="000B1B99" w:rsidRPr="007B1664" w:rsidRDefault="000B1B9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22DCB839" w14:textId="77777777">
        <w:tc>
          <w:tcPr>
            <w:tcW w:w="1129" w:type="dxa"/>
            <w:shd w:val="clear" w:color="auto" w:fill="D9D9D9"/>
          </w:tcPr>
          <w:p w14:paraId="66EB4E9F" w14:textId="77777777" w:rsidR="000B1B99" w:rsidRPr="007B1664" w:rsidRDefault="007B1664">
            <w:pPr>
              <w:spacing w:after="120" w:line="240" w:lineRule="auto"/>
              <w:jc w:val="both"/>
              <w:rPr>
                <w:rFonts w:ascii="Times New Roman" w:eastAsia="Times New Roman" w:hAnsi="Times New Roman" w:cs="Times New Roman"/>
                <w:bCs/>
                <w:sz w:val="24"/>
                <w:szCs w:val="24"/>
              </w:rPr>
            </w:pPr>
            <w:r w:rsidRPr="007B1664">
              <w:rPr>
                <w:rFonts w:ascii="Times New Roman" w:hAnsi="Times New Roman"/>
                <w:sz w:val="24"/>
                <w:szCs w:val="24"/>
              </w:rPr>
              <w:t>Colunas</w:t>
            </w:r>
          </w:p>
        </w:tc>
        <w:tc>
          <w:tcPr>
            <w:tcW w:w="7620" w:type="dxa"/>
            <w:shd w:val="clear" w:color="auto" w:fill="D9D9D9"/>
          </w:tcPr>
          <w:p w14:paraId="6C340625" w14:textId="77777777" w:rsidR="000B1B99" w:rsidRPr="007B1664" w:rsidRDefault="007B1664">
            <w:pPr>
              <w:spacing w:after="120" w:line="240" w:lineRule="auto"/>
              <w:jc w:val="both"/>
              <w:rPr>
                <w:rFonts w:ascii="Times New Roman" w:eastAsia="Times New Roman" w:hAnsi="Times New Roman" w:cs="Times New Roman"/>
                <w:bCs/>
                <w:sz w:val="24"/>
                <w:szCs w:val="24"/>
              </w:rPr>
            </w:pPr>
            <w:r w:rsidRPr="007B1664">
              <w:rPr>
                <w:rFonts w:ascii="Times New Roman" w:hAnsi="Times New Roman"/>
                <w:sz w:val="24"/>
                <w:szCs w:val="24"/>
              </w:rPr>
              <w:t>Referências jurídicas e instruções</w:t>
            </w:r>
          </w:p>
        </w:tc>
      </w:tr>
      <w:tr w:rsidR="000B1B99" w:rsidRPr="007B1664" w14:paraId="66694564" w14:textId="77777777">
        <w:tc>
          <w:tcPr>
            <w:tcW w:w="1129" w:type="dxa"/>
          </w:tcPr>
          <w:p w14:paraId="08942313" w14:textId="77777777" w:rsidR="000B1B99" w:rsidRPr="007B1664" w:rsidRDefault="007B1664">
            <w:pPr>
              <w:spacing w:after="120" w:line="240" w:lineRule="auto"/>
              <w:jc w:val="both"/>
              <w:rPr>
                <w:rFonts w:ascii="Times New Roman" w:eastAsia="Times New Roman" w:hAnsi="Times New Roman" w:cs="Times New Roman"/>
                <w:bCs/>
                <w:sz w:val="24"/>
                <w:szCs w:val="24"/>
              </w:rPr>
            </w:pPr>
            <w:r w:rsidRPr="007B1664">
              <w:rPr>
                <w:rFonts w:ascii="Times New Roman" w:hAnsi="Times New Roman"/>
                <w:bCs/>
                <w:sz w:val="24"/>
                <w:szCs w:val="24"/>
              </w:rPr>
              <w:t>0010</w:t>
            </w:r>
          </w:p>
        </w:tc>
        <w:tc>
          <w:tcPr>
            <w:tcW w:w="7620" w:type="dxa"/>
          </w:tcPr>
          <w:p w14:paraId="36124481" w14:textId="77777777" w:rsidR="000B1B99" w:rsidRPr="007B1664" w:rsidRDefault="007B1664">
            <w:pPr>
              <w:spacing w:after="120" w:line="240" w:lineRule="auto"/>
              <w:jc w:val="both"/>
              <w:rPr>
                <w:rFonts w:ascii="Times New Roman" w:eastAsia="Times New Roman" w:hAnsi="Times New Roman" w:cs="Times New Roman"/>
                <w:b/>
                <w:bCs/>
                <w:color w:val="000000" w:themeColor="text1"/>
                <w:sz w:val="24"/>
                <w:szCs w:val="24"/>
                <w:u w:val="single"/>
              </w:rPr>
            </w:pPr>
            <w:r w:rsidRPr="007B1664">
              <w:rPr>
                <w:rFonts w:ascii="Times New Roman" w:hAnsi="Times New Roman"/>
                <w:b/>
                <w:bCs/>
                <w:color w:val="000000" w:themeColor="text1"/>
                <w:sz w:val="24"/>
                <w:szCs w:val="24"/>
                <w:u w:val="single"/>
              </w:rPr>
              <w:t>Montante dos fatores</w:t>
            </w:r>
          </w:p>
          <w:p w14:paraId="75DACFF8" w14:textId="77777777" w:rsidR="000B1B99" w:rsidRPr="007B1664" w:rsidRDefault="007B1664">
            <w:pPr>
              <w:spacing w:after="120" w:line="240" w:lineRule="auto"/>
              <w:jc w:val="both"/>
              <w:rPr>
                <w:rFonts w:ascii="Times New Roman" w:eastAsia="Times New Roman" w:hAnsi="Times New Roman" w:cs="Times New Roman"/>
                <w:b/>
                <w:bCs/>
                <w:color w:val="000000" w:themeColor="text1"/>
                <w:sz w:val="24"/>
                <w:szCs w:val="24"/>
                <w:u w:val="single"/>
              </w:rPr>
            </w:pPr>
            <w:r w:rsidRPr="007B1664">
              <w:rPr>
                <w:rFonts w:ascii="Times New Roman" w:hAnsi="Times New Roman"/>
                <w:bCs/>
                <w:color w:val="000000" w:themeColor="text1"/>
                <w:sz w:val="24"/>
                <w:szCs w:val="24"/>
              </w:rPr>
              <w:t xml:space="preserve">As empresas de investimento devem comunicar o montante correspondente a cada um dos fatores antes de multiplicar cada fator pelo coeficiente correspondente. </w:t>
            </w:r>
          </w:p>
        </w:tc>
      </w:tr>
      <w:tr w:rsidR="000B1B99" w:rsidRPr="007B1664" w14:paraId="4DFC6EC7" w14:textId="77777777">
        <w:tc>
          <w:tcPr>
            <w:tcW w:w="1129" w:type="dxa"/>
          </w:tcPr>
          <w:p w14:paraId="6F980789" w14:textId="77777777" w:rsidR="000B1B99" w:rsidRPr="007B1664" w:rsidRDefault="007B1664">
            <w:pPr>
              <w:spacing w:after="120" w:line="240" w:lineRule="auto"/>
              <w:jc w:val="both"/>
              <w:rPr>
                <w:rFonts w:ascii="Times New Roman" w:eastAsia="Times New Roman" w:hAnsi="Times New Roman" w:cs="Times New Roman"/>
                <w:bCs/>
                <w:sz w:val="24"/>
                <w:szCs w:val="24"/>
              </w:rPr>
            </w:pPr>
            <w:r w:rsidRPr="007B1664">
              <w:rPr>
                <w:rFonts w:ascii="Times New Roman" w:hAnsi="Times New Roman"/>
                <w:bCs/>
                <w:sz w:val="24"/>
                <w:szCs w:val="24"/>
              </w:rPr>
              <w:t>0020</w:t>
            </w:r>
          </w:p>
        </w:tc>
        <w:tc>
          <w:tcPr>
            <w:tcW w:w="7620" w:type="dxa"/>
          </w:tcPr>
          <w:p w14:paraId="3665F66D" w14:textId="77777777" w:rsidR="000B1B99" w:rsidRPr="007B1664" w:rsidRDefault="007B1664">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7B1664">
              <w:rPr>
                <w:rFonts w:ascii="Times New Roman" w:hAnsi="Times New Roman"/>
                <w:b/>
                <w:bCs/>
                <w:sz w:val="24"/>
                <w:szCs w:val="24"/>
                <w:u w:val="single"/>
              </w:rPr>
              <w:t>Requisito baseado nos fatores K</w:t>
            </w:r>
          </w:p>
          <w:p w14:paraId="00AB7D8E" w14:textId="77777777" w:rsidR="000B1B99" w:rsidRPr="007B1664" w:rsidRDefault="007B1664">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7B1664">
              <w:rPr>
                <w:rFonts w:ascii="Times New Roman" w:hAnsi="Times New Roman"/>
                <w:bCs/>
                <w:sz w:val="24"/>
                <w:szCs w:val="24"/>
              </w:rPr>
              <w:t>Calculado em conformidade com os artigos 16.</w:t>
            </w:r>
            <w:r w:rsidRPr="007B1664">
              <w:rPr>
                <w:rFonts w:ascii="Times New Roman" w:hAnsi="Times New Roman"/>
                <w:bCs/>
                <w:sz w:val="24"/>
                <w:szCs w:val="24"/>
                <w:vertAlign w:val="superscript"/>
              </w:rPr>
              <w:t>o</w:t>
            </w:r>
            <w:r w:rsidRPr="007B1664">
              <w:rPr>
                <w:rFonts w:ascii="Times New Roman" w:hAnsi="Times New Roman"/>
                <w:bCs/>
                <w:sz w:val="24"/>
                <w:szCs w:val="24"/>
              </w:rPr>
              <w:t xml:space="preserve">, 21.° e </w:t>
            </w:r>
            <w:r w:rsidRPr="007B1664">
              <w:rPr>
                <w:rFonts w:ascii="Times New Roman" w:hAnsi="Times New Roman"/>
                <w:bCs/>
                <w:sz w:val="24"/>
                <w:szCs w:val="24"/>
              </w:rPr>
              <w:t>24.° do Regulamento (UE) 2019/2033.</w:t>
            </w:r>
          </w:p>
        </w:tc>
      </w:tr>
    </w:tbl>
    <w:p w14:paraId="683298FD" w14:textId="77777777" w:rsidR="000B1B99" w:rsidRPr="007B1664" w:rsidRDefault="000B1B99">
      <w:pPr>
        <w:spacing w:after="120" w:line="240" w:lineRule="auto"/>
        <w:jc w:val="both"/>
        <w:rPr>
          <w:rFonts w:ascii="Times New Roman" w:eastAsia="Times New Roman" w:hAnsi="Times New Roman" w:cs="Times New Roman"/>
          <w:sz w:val="24"/>
          <w:szCs w:val="24"/>
          <w:lang w:eastAsia="de-DE"/>
        </w:rPr>
      </w:pPr>
    </w:p>
    <w:p w14:paraId="78241F43" w14:textId="77777777" w:rsidR="000B1B99" w:rsidRPr="007B1664" w:rsidRDefault="007B1664">
      <w:pPr>
        <w:pStyle w:val="Instructionsberschrift2"/>
        <w:ind w:left="357" w:hanging="357"/>
        <w:rPr>
          <w:u w:val="none"/>
        </w:rPr>
      </w:pPr>
      <w:bookmarkStart w:id="42" w:name="_Toc35795022"/>
      <w:bookmarkStart w:id="43" w:name="_Toc88247672"/>
      <w:r w:rsidRPr="007B1664">
        <w:rPr>
          <w:rFonts w:ascii="Times New Roman" w:hAnsi="Times New Roman"/>
          <w:b/>
          <w:sz w:val="24"/>
          <w:u w:val="none"/>
        </w:rPr>
        <w:t xml:space="preserve">2. </w:t>
      </w:r>
      <w:r w:rsidRPr="007B1664">
        <w:rPr>
          <w:rFonts w:ascii="Times New Roman" w:hAnsi="Times New Roman"/>
          <w:b/>
          <w:sz w:val="22"/>
          <w:szCs w:val="22"/>
          <w:u w:val="none"/>
        </w:rPr>
        <w:t>EMPRESAS DE INVESTIMENTO DE PEQUENA DIMENSÃO E NÃO INTERLIGADAS</w:t>
      </w:r>
      <w:bookmarkEnd w:id="42"/>
      <w:bookmarkEnd w:id="43"/>
    </w:p>
    <w:p w14:paraId="1CD04920"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247673"/>
      <w:bookmarkStart w:id="47" w:name="_Toc308175823"/>
      <w:bookmarkStart w:id="48" w:name="_Toc360188327"/>
      <w:r w:rsidRPr="007B1664">
        <w:rPr>
          <w:rFonts w:ascii="Times New Roman" w:hAnsi="Times New Roman"/>
          <w:sz w:val="24"/>
          <w:szCs w:val="24"/>
          <w:u w:val="single"/>
        </w:rPr>
        <w:t>2.1. I 05.00 - NÍVEL DE ATIVIDADE - ANÁLISE DOS LIMIARES (I 5)</w:t>
      </w:r>
      <w:bookmarkEnd w:id="44"/>
      <w:bookmarkEnd w:id="45"/>
      <w:bookmarkEnd w:id="46"/>
      <w:bookmarkEnd w:id="47"/>
      <w:bookmarkEnd w:id="48"/>
    </w:p>
    <w:p w14:paraId="7D9206CB" w14:textId="77777777" w:rsidR="000B1B99" w:rsidRPr="007B1664" w:rsidRDefault="007B1664">
      <w:pPr>
        <w:keepNext/>
        <w:spacing w:before="240" w:after="240" w:line="240" w:lineRule="auto"/>
        <w:ind w:left="357" w:hanging="357"/>
        <w:jc w:val="both"/>
        <w:outlineLvl w:val="1"/>
        <w:rPr>
          <w:rFonts w:ascii="Times New Roman" w:eastAsia="Times New Roman" w:hAnsi="Times New Roman" w:cs="Times New Roman"/>
          <w:b/>
        </w:rPr>
      </w:pPr>
      <w:bookmarkStart w:id="49" w:name="_Toc310414970"/>
      <w:bookmarkStart w:id="50" w:name="_Toc360188328"/>
      <w:bookmarkStart w:id="51" w:name="_Toc473560876"/>
      <w:bookmarkStart w:id="52" w:name="_Toc7084161"/>
      <w:bookmarkStart w:id="53" w:name="_Toc88247674"/>
      <w:r w:rsidRPr="007B1664">
        <w:rPr>
          <w:rFonts w:ascii="Times New Roman" w:hAnsi="Times New Roman"/>
          <w:sz w:val="24"/>
          <w:szCs w:val="24"/>
        </w:rPr>
        <w:t>2.1.1.</w:t>
      </w:r>
      <w:r w:rsidRPr="007B1664">
        <w:rPr>
          <w:rFonts w:ascii="Times New Roman" w:hAnsi="Times New Roman"/>
          <w:sz w:val="24"/>
          <w:szCs w:val="24"/>
        </w:rPr>
        <w:tab/>
      </w:r>
      <w:bookmarkStart w:id="54" w:name="_Toc308175824"/>
      <w:r w:rsidRPr="007B1664">
        <w:rPr>
          <w:rFonts w:ascii="Times New Roman" w:hAnsi="Times New Roman"/>
          <w:sz w:val="24"/>
          <w:szCs w:val="24"/>
          <w:u w:val="single"/>
        </w:rPr>
        <w:t>Instruções relativas</w:t>
      </w:r>
      <w:r w:rsidRPr="007B1664">
        <w:rPr>
          <w:rFonts w:ascii="Times New Roman" w:hAnsi="Times New Roman"/>
          <w:u w:val="single"/>
        </w:rPr>
        <w:t xml:space="preserve"> a posições </w:t>
      </w:r>
      <w:bookmarkEnd w:id="54"/>
      <w:bookmarkEnd w:id="49"/>
      <w:r w:rsidRPr="007B1664">
        <w:rPr>
          <w:rFonts w:ascii="Times New Roman" w:hAnsi="Times New Roman"/>
          <w:u w:val="single"/>
        </w:rPr>
        <w:t>específicas</w:t>
      </w:r>
      <w:bookmarkEnd w:id="50"/>
      <w:bookmarkEnd w:id="51"/>
      <w:bookmarkEnd w:id="52"/>
      <w:bookmarkEnd w:id="5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6D6AA725" w14:textId="77777777">
        <w:tc>
          <w:tcPr>
            <w:tcW w:w="1129" w:type="dxa"/>
            <w:shd w:val="clear" w:color="auto" w:fill="D9D9D9"/>
          </w:tcPr>
          <w:p w14:paraId="661BA67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4DCDDB8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 xml:space="preserve">Referências jurídicas e </w:t>
            </w:r>
            <w:r w:rsidRPr="007B1664">
              <w:rPr>
                <w:rFonts w:ascii="Times New Roman" w:hAnsi="Times New Roman"/>
              </w:rPr>
              <w:t>instruções</w:t>
            </w:r>
          </w:p>
        </w:tc>
      </w:tr>
      <w:tr w:rsidR="000B1B99" w:rsidRPr="007B1664" w14:paraId="7939F9F6" w14:textId="77777777">
        <w:tc>
          <w:tcPr>
            <w:tcW w:w="1129" w:type="dxa"/>
          </w:tcPr>
          <w:p w14:paraId="2F9B3AF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7132E22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Ativos (combinados) sob gestão</w:t>
            </w:r>
          </w:p>
          <w:p w14:paraId="481C22F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a), do Regulamento (UE) 2019/2033.</w:t>
            </w:r>
          </w:p>
          <w:p w14:paraId="7A75CA7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Caso a empresa de investimento que comunica informações faça parte de um grupo, o valor comunicado deve ser determinado numa base </w:t>
            </w:r>
            <w:r w:rsidRPr="007B1664">
              <w:rPr>
                <w:rFonts w:ascii="Times New Roman" w:hAnsi="Times New Roman"/>
                <w:bCs/>
              </w:rPr>
              <w:t>combinada de todas as empresas de investimento que fazem parte de um grupo nos termos do 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p w14:paraId="13E56A0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As empresas de investimento devem incluir ativos discricionários e não discricionários sob gestão.</w:t>
            </w:r>
          </w:p>
          <w:p w14:paraId="6320B7D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O montante comuni</w:t>
            </w:r>
            <w:r w:rsidRPr="007B1664">
              <w:rPr>
                <w:rFonts w:ascii="Times New Roman" w:hAnsi="Times New Roman"/>
                <w:bCs/>
              </w:rPr>
              <w:t>cado deve ser o montante que seria utilizado para o cálculo dos</w:t>
            </w:r>
            <w:r w:rsidRPr="007B1664">
              <w:rPr>
                <w:rFonts w:ascii="Times New Roman" w:hAnsi="Times New Roman"/>
                <w:bCs/>
              </w:rPr>
              <w:br/>
              <w:t>fatores K antes da aplicação dos coeficientes em causa.</w:t>
            </w:r>
          </w:p>
        </w:tc>
      </w:tr>
      <w:tr w:rsidR="000B1B99" w:rsidRPr="007B1664" w14:paraId="684443DA" w14:textId="77777777">
        <w:tc>
          <w:tcPr>
            <w:tcW w:w="1129" w:type="dxa"/>
          </w:tcPr>
          <w:p w14:paraId="4037556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0020</w:t>
            </w:r>
          </w:p>
        </w:tc>
        <w:tc>
          <w:tcPr>
            <w:tcW w:w="7620" w:type="dxa"/>
          </w:tcPr>
          <w:p w14:paraId="25D4B7E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Ordens de clientes (combinadas) tratadas - Transações em numerário</w:t>
            </w:r>
          </w:p>
          <w:p w14:paraId="6C9EC33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b), subalínea i), do Regulamento (UE</w:t>
            </w:r>
            <w:r w:rsidRPr="007B1664">
              <w:rPr>
                <w:rFonts w:ascii="Times New Roman" w:hAnsi="Times New Roman"/>
                <w:bCs/>
              </w:rPr>
              <w:t>) 2019/2033.</w:t>
            </w:r>
          </w:p>
          <w:p w14:paraId="21B43A0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Caso a empresa de investimento que comunica informações faça parte de um grupo, o valor comunicado deve ser determinado numa base combinada de todas as empresas de investimento que fazem parte de um grupo nos termos do 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2, do </w:t>
            </w:r>
            <w:r w:rsidRPr="007B1664">
              <w:rPr>
                <w:rFonts w:ascii="Times New Roman" w:hAnsi="Times New Roman"/>
                <w:bCs/>
              </w:rPr>
              <w:t>Regulamento (UE) 2019/2033.</w:t>
            </w:r>
          </w:p>
          <w:p w14:paraId="1A23BE3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montante comunicado deve ser o montante que seria utilizado para o cálculo dos fatores K antes da aplicação dos coeficientes em causa.</w:t>
            </w:r>
          </w:p>
        </w:tc>
      </w:tr>
      <w:tr w:rsidR="000B1B99" w:rsidRPr="007B1664" w14:paraId="2C627A54" w14:textId="77777777">
        <w:tc>
          <w:tcPr>
            <w:tcW w:w="1129" w:type="dxa"/>
          </w:tcPr>
          <w:p w14:paraId="1DEBEB2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7EA9BCD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Ordens de clientes (combinadas) tratadas - Derivados</w:t>
            </w:r>
          </w:p>
          <w:p w14:paraId="50BD82D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b), s</w:t>
            </w:r>
            <w:r w:rsidRPr="007B1664">
              <w:rPr>
                <w:rFonts w:ascii="Times New Roman" w:hAnsi="Times New Roman"/>
                <w:bCs/>
              </w:rPr>
              <w:t>ubalínea ii), do Regulamento (UE) 2019/2033.</w:t>
            </w:r>
          </w:p>
          <w:p w14:paraId="1151D8D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Caso a empresa de investimento que comunica informações faça parte de um grupo, o valor comunicado deve ser determinado numa base combinada de todas as empresas de investimento que fazem parte de um grupo nos te</w:t>
            </w:r>
            <w:r w:rsidRPr="007B1664">
              <w:rPr>
                <w:rFonts w:ascii="Times New Roman" w:hAnsi="Times New Roman"/>
                <w:bCs/>
              </w:rPr>
              <w:t>rmos do 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p w14:paraId="0BF7617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montante comunicado deve ser o montante que seria utilizado para o cálculo dos fatores K antes da aplicação dos coeficientes em causa.</w:t>
            </w:r>
          </w:p>
        </w:tc>
      </w:tr>
      <w:tr w:rsidR="000B1B99" w:rsidRPr="007B1664" w14:paraId="5228FDB1" w14:textId="77777777">
        <w:tc>
          <w:tcPr>
            <w:tcW w:w="1129" w:type="dxa"/>
          </w:tcPr>
          <w:p w14:paraId="58FBC48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Pr>
          <w:p w14:paraId="4DAF4AF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objeto de guarda e administração</w:t>
            </w:r>
          </w:p>
          <w:p w14:paraId="58DC542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xml:space="preserve">, </w:t>
            </w:r>
            <w:r w:rsidRPr="007B1664">
              <w:rPr>
                <w:rFonts w:ascii="Times New Roman" w:hAnsi="Times New Roman"/>
                <w:bCs/>
              </w:rPr>
              <w:t>n.</w:t>
            </w:r>
            <w:r w:rsidRPr="007B1664">
              <w:rPr>
                <w:rFonts w:ascii="Times New Roman" w:hAnsi="Times New Roman"/>
                <w:bCs/>
                <w:vertAlign w:val="superscript"/>
              </w:rPr>
              <w:t>o</w:t>
            </w:r>
            <w:r w:rsidRPr="007B1664">
              <w:rPr>
                <w:rFonts w:ascii="Times New Roman" w:hAnsi="Times New Roman"/>
                <w:bCs/>
              </w:rPr>
              <w:t> 1, alínea c), do Regulamento (UE) 2019/2033.</w:t>
            </w:r>
          </w:p>
          <w:p w14:paraId="1795354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montante comunicado deve ser o montante que seria utilizado para o cálculo dos fatores K antes da aplicação dos coeficientes em causa.</w:t>
            </w:r>
          </w:p>
        </w:tc>
      </w:tr>
      <w:tr w:rsidR="000B1B99" w:rsidRPr="007B1664" w14:paraId="0D816CE6" w14:textId="77777777">
        <w:tc>
          <w:tcPr>
            <w:tcW w:w="1129" w:type="dxa"/>
          </w:tcPr>
          <w:p w14:paraId="09994B8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Pr>
          <w:p w14:paraId="58F3B79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Fundos de clientes detidos</w:t>
            </w:r>
          </w:p>
          <w:p w14:paraId="18D7CAA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w:t>
            </w:r>
            <w:r w:rsidRPr="007B1664">
              <w:rPr>
                <w:rFonts w:ascii="Times New Roman" w:hAnsi="Times New Roman"/>
                <w:bCs/>
              </w:rPr>
              <w:t>ulamento (UE) 2019/2033.</w:t>
            </w:r>
          </w:p>
          <w:p w14:paraId="2985CFC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montante comunicado deve ser o montante que seria utilizado para o cálculo dos fatores K antes da aplicação dos coeficientes em causa.</w:t>
            </w:r>
          </w:p>
        </w:tc>
      </w:tr>
      <w:tr w:rsidR="000B1B99" w:rsidRPr="007B1664" w14:paraId="6069FA77" w14:textId="77777777">
        <w:tc>
          <w:tcPr>
            <w:tcW w:w="1129" w:type="dxa"/>
          </w:tcPr>
          <w:p w14:paraId="393B785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Pr>
          <w:p w14:paraId="398471B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Fluxo diário de negociação - transações em numerário e transações de derivados</w:t>
            </w:r>
          </w:p>
          <w:p w14:paraId="290AE6E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e), do Regulamento (UE) 2019/2033.</w:t>
            </w:r>
          </w:p>
          <w:p w14:paraId="2248DD9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montante comunicado deve ser o montante que seria utilizado para o cálculo dos fatores K antes da aplicação dos coeficientes em causa.</w:t>
            </w:r>
          </w:p>
        </w:tc>
      </w:tr>
      <w:tr w:rsidR="000B1B99" w:rsidRPr="007B1664" w14:paraId="3BFCC546" w14:textId="77777777">
        <w:tc>
          <w:tcPr>
            <w:tcW w:w="1129" w:type="dxa"/>
          </w:tcPr>
          <w:p w14:paraId="5CBA96C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0070</w:t>
            </w:r>
          </w:p>
        </w:tc>
        <w:tc>
          <w:tcPr>
            <w:tcW w:w="7620" w:type="dxa"/>
          </w:tcPr>
          <w:p w14:paraId="7D37FBB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Risco de posição líquida</w:t>
            </w:r>
          </w:p>
          <w:p w14:paraId="67C0224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w:t>
            </w:r>
            <w:r w:rsidRPr="007B1664">
              <w:rPr>
                <w:rFonts w:ascii="Times New Roman" w:hAnsi="Times New Roman"/>
                <w:bCs/>
              </w:rPr>
              <w:t xml:space="preserve"> f), do Regulamento (UE) 2019/2033.</w:t>
            </w:r>
          </w:p>
          <w:p w14:paraId="50F0ABD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montante comunicado deve ser o montante que seria utilizado para o cálculo dos fatores K antes da aplicação dos coeficientes em causa.</w:t>
            </w:r>
          </w:p>
        </w:tc>
      </w:tr>
      <w:tr w:rsidR="000B1B99" w:rsidRPr="007B1664" w14:paraId="272A6CA4" w14:textId="77777777">
        <w:tc>
          <w:tcPr>
            <w:tcW w:w="1129" w:type="dxa"/>
          </w:tcPr>
          <w:p w14:paraId="6B28DF6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0080</w:t>
            </w:r>
          </w:p>
        </w:tc>
        <w:tc>
          <w:tcPr>
            <w:tcW w:w="7620" w:type="dxa"/>
          </w:tcPr>
          <w:p w14:paraId="1A10400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Margem de compensação concedida</w:t>
            </w:r>
          </w:p>
          <w:p w14:paraId="7C740CF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f), do Regulamento</w:t>
            </w:r>
            <w:r w:rsidRPr="007B1664">
              <w:rPr>
                <w:rFonts w:ascii="Times New Roman" w:hAnsi="Times New Roman"/>
                <w:bCs/>
              </w:rPr>
              <w:t xml:space="preserve"> (UE) 2019/2033.</w:t>
            </w:r>
          </w:p>
          <w:p w14:paraId="0B21B506"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t>O montante comunicado deve ser o montante que seria utilizado para o cálculo dos fatores K antes da aplicação dos coeficientes em causa.</w:t>
            </w:r>
          </w:p>
        </w:tc>
      </w:tr>
      <w:tr w:rsidR="000B1B99" w:rsidRPr="007B1664" w14:paraId="6033FC14" w14:textId="77777777">
        <w:tc>
          <w:tcPr>
            <w:tcW w:w="1129" w:type="dxa"/>
          </w:tcPr>
          <w:p w14:paraId="219691A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0090</w:t>
            </w:r>
          </w:p>
        </w:tc>
        <w:tc>
          <w:tcPr>
            <w:tcW w:w="7620" w:type="dxa"/>
          </w:tcPr>
          <w:p w14:paraId="285F088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Incumprimento da contraparte na negociação</w:t>
            </w:r>
          </w:p>
          <w:p w14:paraId="60D7718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g), do </w:t>
            </w:r>
            <w:r w:rsidRPr="007B1664">
              <w:rPr>
                <w:rFonts w:ascii="Times New Roman" w:hAnsi="Times New Roman"/>
                <w:bCs/>
              </w:rPr>
              <w:t>Regulamento (UE) 2019/2033.</w:t>
            </w:r>
          </w:p>
          <w:p w14:paraId="442BD26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montante comunicado deve ser o montante que seria utilizado para o cálculo dos fatores K antes da aplicação dos coeficientes em causa.</w:t>
            </w:r>
          </w:p>
        </w:tc>
      </w:tr>
      <w:tr w:rsidR="000B1B99" w:rsidRPr="007B1664" w14:paraId="4CF3635E" w14:textId="77777777">
        <w:tc>
          <w:tcPr>
            <w:tcW w:w="1129" w:type="dxa"/>
          </w:tcPr>
          <w:p w14:paraId="455A87B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0100</w:t>
            </w:r>
          </w:p>
        </w:tc>
        <w:tc>
          <w:tcPr>
            <w:tcW w:w="7620" w:type="dxa"/>
          </w:tcPr>
          <w:p w14:paraId="3D1592B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Elementos patrimoniais e extrapatrimoniais totais (combinados)</w:t>
            </w:r>
          </w:p>
          <w:p w14:paraId="7FAAF78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w:t>
            </w:r>
            <w:r w:rsidRPr="007B1664">
              <w:rPr>
                <w:rFonts w:ascii="Times New Roman" w:hAnsi="Times New Roman"/>
                <w:bCs/>
              </w:rPr>
              <w:t>alínea h), do Regulamento (UE) 2019/2033.</w:t>
            </w:r>
          </w:p>
          <w:p w14:paraId="5CE80AC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Caso a empresa de investimento que comunica informações faça parte de um grupo, o valor comunicado deve ser determinado numa base combinada de todas as empresas de investimento que fazem parte de um grupo nos termo</w:t>
            </w:r>
            <w:r w:rsidRPr="007B1664">
              <w:rPr>
                <w:rFonts w:ascii="Times New Roman" w:hAnsi="Times New Roman"/>
                <w:bCs/>
              </w:rPr>
              <w:t>s do 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tc>
      </w:tr>
      <w:tr w:rsidR="000B1B99" w:rsidRPr="007B1664" w14:paraId="2E2A4450" w14:textId="77777777">
        <w:tc>
          <w:tcPr>
            <w:tcW w:w="1129" w:type="dxa"/>
          </w:tcPr>
          <w:p w14:paraId="3037E18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0110</w:t>
            </w:r>
          </w:p>
        </w:tc>
        <w:tc>
          <w:tcPr>
            <w:tcW w:w="7620" w:type="dxa"/>
          </w:tcPr>
          <w:p w14:paraId="6AD3730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Total das receitas brutas anuais combinadas</w:t>
            </w:r>
          </w:p>
          <w:p w14:paraId="4CF0808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i), do Regulamento (UE) 2019/2033.</w:t>
            </w:r>
          </w:p>
          <w:p w14:paraId="417E87B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Caso a empresa de investimento que comunica informações faça parte de um grupo, o valor </w:t>
            </w:r>
            <w:r w:rsidRPr="007B1664">
              <w:rPr>
                <w:rFonts w:ascii="Times New Roman" w:hAnsi="Times New Roman"/>
                <w:bCs/>
              </w:rPr>
              <w:t>comunicado deve ser determinado numa base combinada de todas as empresas de investimento que fazem parte de um grupo nos termos do 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tc>
      </w:tr>
      <w:tr w:rsidR="000B1B99" w:rsidRPr="007B1664" w14:paraId="6A8FFA4B" w14:textId="77777777">
        <w:tc>
          <w:tcPr>
            <w:tcW w:w="1129" w:type="dxa"/>
          </w:tcPr>
          <w:p w14:paraId="268B850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0120</w:t>
            </w:r>
          </w:p>
        </w:tc>
        <w:tc>
          <w:tcPr>
            <w:tcW w:w="7620" w:type="dxa"/>
          </w:tcPr>
          <w:p w14:paraId="517C5BA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das receitas brutas anuais</w:t>
            </w:r>
          </w:p>
          <w:p w14:paraId="2AD5E3C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O valor das receitas brutas anuais </w:t>
            </w:r>
            <w:r w:rsidRPr="007B1664">
              <w:rPr>
                <w:rFonts w:ascii="Times New Roman" w:hAnsi="Times New Roman"/>
                <w:bCs/>
              </w:rPr>
              <w:t>totais, excluindo as receitas brutas geradas no grupo nos termos do 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tc>
      </w:tr>
      <w:tr w:rsidR="000B1B99" w:rsidRPr="007B1664" w14:paraId="26F92B5B" w14:textId="77777777">
        <w:tc>
          <w:tcPr>
            <w:tcW w:w="1129" w:type="dxa"/>
          </w:tcPr>
          <w:p w14:paraId="3082078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0130</w:t>
            </w:r>
          </w:p>
        </w:tc>
        <w:tc>
          <w:tcPr>
            <w:tcW w:w="7620" w:type="dxa"/>
          </w:tcPr>
          <w:p w14:paraId="0766CE2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Parte intragrupo das receitas brutas anuais</w:t>
            </w:r>
          </w:p>
          <w:p w14:paraId="0DFFBCC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valor das receitas brutas geradas no grupo de empresas de investimento nos termos</w:t>
            </w:r>
            <w:r w:rsidRPr="007B1664">
              <w:rPr>
                <w:rFonts w:ascii="Times New Roman" w:hAnsi="Times New Roman"/>
                <w:bCs/>
              </w:rPr>
              <w:t xml:space="preserve"> do 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tc>
      </w:tr>
      <w:tr w:rsidR="000B1B99" w:rsidRPr="007B1664" w14:paraId="6263742E" w14:textId="77777777">
        <w:tc>
          <w:tcPr>
            <w:tcW w:w="1129" w:type="dxa"/>
          </w:tcPr>
          <w:p w14:paraId="4001037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0140</w:t>
            </w:r>
          </w:p>
        </w:tc>
        <w:tc>
          <w:tcPr>
            <w:tcW w:w="7620" w:type="dxa"/>
          </w:tcPr>
          <w:p w14:paraId="01EF026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da receção e transmissão de ordens</w:t>
            </w:r>
          </w:p>
          <w:p w14:paraId="493B6A1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076254F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2, da Diretiva 2014/65/UE.</w:t>
            </w:r>
          </w:p>
        </w:tc>
      </w:tr>
      <w:tr w:rsidR="000B1B99" w:rsidRPr="007B1664" w14:paraId="15575D47" w14:textId="77777777">
        <w:tc>
          <w:tcPr>
            <w:tcW w:w="1129" w:type="dxa"/>
          </w:tcPr>
          <w:p w14:paraId="1C6CF5B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0150</w:t>
            </w:r>
          </w:p>
        </w:tc>
        <w:tc>
          <w:tcPr>
            <w:tcW w:w="7620" w:type="dxa"/>
          </w:tcPr>
          <w:p w14:paraId="1B1BEBC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da execução de ordens por conta de clientes</w:t>
            </w:r>
          </w:p>
          <w:p w14:paraId="19316A9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17D3044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2, da Diretiva 2014/65/UE.</w:t>
            </w:r>
          </w:p>
        </w:tc>
      </w:tr>
      <w:tr w:rsidR="000B1B99" w:rsidRPr="007B1664" w14:paraId="1C68253B" w14:textId="77777777">
        <w:tc>
          <w:tcPr>
            <w:tcW w:w="1129" w:type="dxa"/>
          </w:tcPr>
          <w:p w14:paraId="53A2259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E88DF8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da negociação por conta própria</w:t>
            </w:r>
          </w:p>
          <w:p w14:paraId="33F5324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w:t>
            </w:r>
            <w:r w:rsidRPr="007B1664">
              <w:rPr>
                <w:rFonts w:ascii="Times New Roman" w:hAnsi="Times New Roman"/>
                <w:bCs/>
              </w:rPr>
              <w:t>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6097035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2, da Diretiva 2014/65/UE.</w:t>
            </w:r>
          </w:p>
        </w:tc>
      </w:tr>
      <w:tr w:rsidR="000B1B99" w:rsidRPr="007B1664" w14:paraId="2D20A3FE" w14:textId="77777777">
        <w:tc>
          <w:tcPr>
            <w:tcW w:w="1129" w:type="dxa"/>
          </w:tcPr>
          <w:p w14:paraId="62690F3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37A89F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da gestão de carteiras</w:t>
            </w:r>
          </w:p>
          <w:p w14:paraId="3F0B139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26FC038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ponto 2, da </w:t>
            </w:r>
            <w:r w:rsidRPr="007B1664">
              <w:rPr>
                <w:rFonts w:ascii="Times New Roman" w:hAnsi="Times New Roman"/>
                <w:bCs/>
              </w:rPr>
              <w:t>Diretiva 2014/65/UE.</w:t>
            </w:r>
          </w:p>
        </w:tc>
      </w:tr>
      <w:tr w:rsidR="000B1B99" w:rsidRPr="007B1664" w14:paraId="524F8041" w14:textId="77777777">
        <w:tc>
          <w:tcPr>
            <w:tcW w:w="1129" w:type="dxa"/>
          </w:tcPr>
          <w:p w14:paraId="58401F7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03EA0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de consultoria para investimento</w:t>
            </w:r>
          </w:p>
          <w:p w14:paraId="4436DC0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07A4A4B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2, da Diretiva 2014/65/UE.</w:t>
            </w:r>
          </w:p>
        </w:tc>
      </w:tr>
      <w:tr w:rsidR="000B1B99" w:rsidRPr="007B1664" w14:paraId="7B332560" w14:textId="77777777">
        <w:tc>
          <w:tcPr>
            <w:tcW w:w="1129" w:type="dxa"/>
          </w:tcPr>
          <w:p w14:paraId="4EF828E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4650A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Sendo: receitas da tomada firme de </w:t>
            </w:r>
            <w:r w:rsidRPr="007B1664">
              <w:rPr>
                <w:rFonts w:ascii="Times New Roman" w:hAnsi="Times New Roman"/>
                <w:b/>
                <w:bCs/>
                <w:u w:val="single"/>
              </w:rPr>
              <w:t>instrumentos financeiros/colocação com compromisso firme</w:t>
            </w:r>
          </w:p>
          <w:p w14:paraId="2191FB7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7869501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2, da Diretiva 2014/65/UE.</w:t>
            </w:r>
          </w:p>
        </w:tc>
      </w:tr>
      <w:tr w:rsidR="000B1B99" w:rsidRPr="007B1664" w14:paraId="0CCA7D30" w14:textId="77777777">
        <w:tc>
          <w:tcPr>
            <w:tcW w:w="1129" w:type="dxa"/>
          </w:tcPr>
          <w:p w14:paraId="742DC09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4276A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da colocação sem compromisso firme</w:t>
            </w:r>
          </w:p>
          <w:p w14:paraId="02CE28F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xml:space="preserve">, </w:t>
            </w:r>
            <w:r w:rsidRPr="007B1664">
              <w:rPr>
                <w:rFonts w:ascii="Times New Roman" w:hAnsi="Times New Roman"/>
                <w:bCs/>
              </w:rPr>
              <w:t>n.</w:t>
            </w:r>
            <w:r w:rsidRPr="007B1664">
              <w:rPr>
                <w:rFonts w:ascii="Times New Roman" w:hAnsi="Times New Roman"/>
                <w:bCs/>
                <w:vertAlign w:val="superscript"/>
              </w:rPr>
              <w:t>o</w:t>
            </w:r>
            <w:r w:rsidRPr="007B1664">
              <w:rPr>
                <w:rFonts w:ascii="Times New Roman" w:hAnsi="Times New Roman"/>
                <w:bCs/>
              </w:rPr>
              <w:t> 1, alínea d), do Regulamento (UE) 2019/2033.</w:t>
            </w:r>
          </w:p>
          <w:p w14:paraId="3A05D50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2, da Diretiva 2014/65/UE.</w:t>
            </w:r>
          </w:p>
        </w:tc>
      </w:tr>
      <w:tr w:rsidR="000B1B99" w:rsidRPr="007B1664" w14:paraId="2959EFD7" w14:textId="77777777">
        <w:tc>
          <w:tcPr>
            <w:tcW w:w="1129" w:type="dxa"/>
          </w:tcPr>
          <w:p w14:paraId="4F31466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67689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da exploração de um MTF</w:t>
            </w:r>
          </w:p>
          <w:p w14:paraId="0A251E8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4D113CE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ponto 2, da </w:t>
            </w:r>
            <w:r w:rsidRPr="007B1664">
              <w:rPr>
                <w:rFonts w:ascii="Times New Roman" w:hAnsi="Times New Roman"/>
                <w:bCs/>
              </w:rPr>
              <w:t>Diretiva 2014/65/UE.</w:t>
            </w:r>
          </w:p>
        </w:tc>
      </w:tr>
      <w:tr w:rsidR="000B1B99" w:rsidRPr="007B1664" w14:paraId="6E6CDA48" w14:textId="77777777">
        <w:tc>
          <w:tcPr>
            <w:tcW w:w="1129" w:type="dxa"/>
          </w:tcPr>
          <w:p w14:paraId="7A52CBF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568B4A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da exploração de um OTF</w:t>
            </w:r>
          </w:p>
          <w:p w14:paraId="2CE73B5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3DDD50A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2, da Diretiva 2014/65/UE.</w:t>
            </w:r>
          </w:p>
        </w:tc>
      </w:tr>
      <w:tr w:rsidR="000B1B99" w:rsidRPr="007B1664" w14:paraId="3B2D21DC" w14:textId="77777777">
        <w:tc>
          <w:tcPr>
            <w:tcW w:w="1129" w:type="dxa"/>
          </w:tcPr>
          <w:p w14:paraId="60FEE96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4CE7F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da guarda e administração d</w:t>
            </w:r>
            <w:r w:rsidRPr="007B1664">
              <w:rPr>
                <w:rFonts w:ascii="Times New Roman" w:hAnsi="Times New Roman"/>
                <w:b/>
                <w:bCs/>
                <w:u w:val="single"/>
              </w:rPr>
              <w:t>e instrumentos financeiros</w:t>
            </w:r>
          </w:p>
          <w:p w14:paraId="576BB68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5A4599E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3, da Diretiva 2014/65/UE.</w:t>
            </w:r>
          </w:p>
        </w:tc>
      </w:tr>
      <w:tr w:rsidR="000B1B99" w:rsidRPr="007B1664" w14:paraId="49EAE4EA" w14:textId="77777777">
        <w:tc>
          <w:tcPr>
            <w:tcW w:w="1129" w:type="dxa"/>
          </w:tcPr>
          <w:p w14:paraId="4D78B59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DB0BF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da concessão de créditos ou empréstimos a investidores</w:t>
            </w:r>
          </w:p>
          <w:p w14:paraId="3066DFB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w:t>
            </w:r>
            <w:r w:rsidRPr="007B1664">
              <w:rPr>
                <w:rFonts w:ascii="Times New Roman" w:hAnsi="Times New Roman"/>
                <w:bCs/>
              </w:rPr>
              <w:t>alínea d), do Regulamento (UE) 2019/2033.</w:t>
            </w:r>
          </w:p>
          <w:p w14:paraId="75A1594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3, da Diretiva 2014/65/UE.</w:t>
            </w:r>
          </w:p>
        </w:tc>
      </w:tr>
      <w:tr w:rsidR="000B1B99" w:rsidRPr="007B1664" w14:paraId="12A48987" w14:textId="77777777">
        <w:tc>
          <w:tcPr>
            <w:tcW w:w="1129" w:type="dxa"/>
          </w:tcPr>
          <w:p w14:paraId="535CC30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8B3554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da consultoria prestada a empresas em matéria de estrutura do capital, de estratégia empresarial e questões conexas e consultor</w:t>
            </w:r>
            <w:r w:rsidRPr="007B1664">
              <w:rPr>
                <w:rFonts w:ascii="Times New Roman" w:hAnsi="Times New Roman"/>
                <w:b/>
                <w:bCs/>
                <w:u w:val="single"/>
              </w:rPr>
              <w:t>ia e serviços em matéria de fusão e aquisição de empresas</w:t>
            </w:r>
          </w:p>
          <w:p w14:paraId="02DAC42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1DA3093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3, da Diretiva 2014/65/UE.</w:t>
            </w:r>
          </w:p>
        </w:tc>
      </w:tr>
      <w:tr w:rsidR="000B1B99" w:rsidRPr="007B1664" w14:paraId="65C25D89" w14:textId="77777777">
        <w:tc>
          <w:tcPr>
            <w:tcW w:w="1129" w:type="dxa"/>
          </w:tcPr>
          <w:p w14:paraId="4D3CB9A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AB7C6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de serviços cambiais</w:t>
            </w:r>
          </w:p>
          <w:p w14:paraId="26CF9C5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w:t>
            </w:r>
            <w:r w:rsidRPr="007B1664">
              <w:rPr>
                <w:rFonts w:ascii="Times New Roman" w:hAnsi="Times New Roman"/>
                <w:bCs/>
              </w:rPr>
              <w:t>), do Regulamento (UE) 2019/2033.</w:t>
            </w:r>
          </w:p>
          <w:p w14:paraId="05AD55D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3, da Diretiva 2014/65/UE.</w:t>
            </w:r>
          </w:p>
        </w:tc>
      </w:tr>
      <w:tr w:rsidR="000B1B99" w:rsidRPr="007B1664" w14:paraId="517DDD7E" w14:textId="77777777">
        <w:tc>
          <w:tcPr>
            <w:tcW w:w="1129" w:type="dxa"/>
          </w:tcPr>
          <w:p w14:paraId="6C8B417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55B2CE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estudos de investimento e análise financeira</w:t>
            </w:r>
          </w:p>
          <w:p w14:paraId="05D6561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0AB15E5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ponto 3, da Diretiva </w:t>
            </w:r>
            <w:r w:rsidRPr="007B1664">
              <w:rPr>
                <w:rFonts w:ascii="Times New Roman" w:hAnsi="Times New Roman"/>
                <w:bCs/>
              </w:rPr>
              <w:t>2014/65/UE.</w:t>
            </w:r>
          </w:p>
        </w:tc>
      </w:tr>
      <w:tr w:rsidR="000B1B99" w:rsidRPr="007B1664" w14:paraId="5906CC83" w14:textId="77777777">
        <w:tc>
          <w:tcPr>
            <w:tcW w:w="1129" w:type="dxa"/>
          </w:tcPr>
          <w:p w14:paraId="64A6FE1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6EB7F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receitas provenientes de serviços relacionados com a tomada firme</w:t>
            </w:r>
          </w:p>
          <w:p w14:paraId="339418A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5382B92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3, da Diretiva 2014/65/UE.</w:t>
            </w:r>
          </w:p>
        </w:tc>
      </w:tr>
      <w:tr w:rsidR="000B1B99" w:rsidRPr="007B1664" w14:paraId="625ED048" w14:textId="77777777">
        <w:tc>
          <w:tcPr>
            <w:tcW w:w="1129" w:type="dxa"/>
          </w:tcPr>
          <w:p w14:paraId="74E09D4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7FE5E8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 xml:space="preserve">Sendo: serviços de investimento e </w:t>
            </w:r>
            <w:r w:rsidRPr="007B1664">
              <w:rPr>
                <w:rFonts w:ascii="Times New Roman" w:hAnsi="Times New Roman"/>
                <w:b/>
                <w:bCs/>
                <w:u w:val="single"/>
              </w:rPr>
              <w:t>atividades auxiliares relacionados com os subjacentes aos derivados</w:t>
            </w:r>
          </w:p>
          <w:p w14:paraId="247DEBB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(UE) 2019/2033.</w:t>
            </w:r>
          </w:p>
          <w:p w14:paraId="0DC8909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ponto 3, da Diretiva 2014/65/UE. </w:t>
            </w:r>
          </w:p>
        </w:tc>
      </w:tr>
    </w:tbl>
    <w:p w14:paraId="6A69508A" w14:textId="77777777" w:rsidR="000B1B99" w:rsidRPr="007B1664" w:rsidRDefault="007B1664">
      <w:pPr>
        <w:pStyle w:val="Instructionsberschrift2"/>
        <w:ind w:left="357" w:hanging="357"/>
        <w:rPr>
          <w:b/>
          <w:sz w:val="22"/>
          <w:szCs w:val="22"/>
          <w:u w:val="none"/>
        </w:rPr>
      </w:pPr>
      <w:bookmarkStart w:id="55" w:name="_Toc88247675"/>
      <w:r w:rsidRPr="007B1664">
        <w:rPr>
          <w:rFonts w:ascii="Times New Roman" w:hAnsi="Times New Roman"/>
          <w:b/>
          <w:sz w:val="24"/>
          <w:u w:val="none"/>
        </w:rPr>
        <w:t xml:space="preserve">3. </w:t>
      </w:r>
      <w:r w:rsidRPr="007B1664">
        <w:rPr>
          <w:rFonts w:ascii="Times New Roman" w:hAnsi="Times New Roman"/>
          <w:b/>
          <w:sz w:val="22"/>
          <w:szCs w:val="22"/>
          <w:u w:val="none"/>
        </w:rPr>
        <w:t>REQUISITOS BASEADOS NOS FATORES K - PORMENORES ADICIONAIS</w:t>
      </w:r>
      <w:bookmarkEnd w:id="55"/>
    </w:p>
    <w:p w14:paraId="6543BE09" w14:textId="77777777" w:rsidR="000B1B99" w:rsidRPr="007B1664" w:rsidRDefault="007B1664">
      <w:pPr>
        <w:pStyle w:val="CommentText"/>
        <w:jc w:val="both"/>
        <w:rPr>
          <w:rFonts w:ascii="Times New Roman" w:eastAsia="Arial" w:hAnsi="Times New Roman" w:cs="Times New Roman"/>
          <w:sz w:val="22"/>
          <w:szCs w:val="22"/>
          <w:u w:val="single"/>
        </w:rPr>
      </w:pPr>
      <w:r w:rsidRPr="007B1664">
        <w:rPr>
          <w:rFonts w:ascii="Times New Roman" w:hAnsi="Times New Roman"/>
          <w:sz w:val="22"/>
          <w:szCs w:val="22"/>
          <w:u w:val="single"/>
        </w:rPr>
        <w:t>3.1. Observ</w:t>
      </w:r>
      <w:r w:rsidRPr="007B1664">
        <w:rPr>
          <w:rFonts w:ascii="Times New Roman" w:hAnsi="Times New Roman"/>
          <w:sz w:val="22"/>
          <w:szCs w:val="22"/>
          <w:u w:val="single"/>
        </w:rPr>
        <w:t>ações gerais</w:t>
      </w:r>
    </w:p>
    <w:p w14:paraId="72DE3B6E" w14:textId="77777777" w:rsidR="000B1B99" w:rsidRPr="007B1664" w:rsidRDefault="007B1664">
      <w:pPr>
        <w:spacing w:line="256" w:lineRule="auto"/>
        <w:ind w:left="993" w:hanging="567"/>
        <w:jc w:val="both"/>
        <w:rPr>
          <w:rFonts w:ascii="Times New Roman" w:hAnsi="Times New Roman" w:cs="Times New Roman"/>
        </w:rPr>
      </w:pPr>
      <w:r w:rsidRPr="007B1664">
        <w:rPr>
          <w:rFonts w:ascii="Times New Roman" w:hAnsi="Times New Roman" w:cs="Times New Roman"/>
        </w:rPr>
        <w:lastRenderedPageBreak/>
        <w:t>12.</w:t>
      </w:r>
      <w:r w:rsidRPr="007B1664">
        <w:rPr>
          <w:rFonts w:ascii="Times New Roman" w:hAnsi="Times New Roman" w:cs="Times New Roman"/>
        </w:rPr>
        <w:tab/>
      </w:r>
      <w:r w:rsidRPr="007B1664">
        <w:rPr>
          <w:rFonts w:ascii="Times New Roman" w:hAnsi="Times New Roman"/>
        </w:rPr>
        <w:t xml:space="preserve">No modelo I 06.00, cada um dos fatores K AUM (ativos sob gestão), ASA (ativos objeto de guarda e administração), CMH (fundos de clientes detidos), COH (ordens de clientes tratadas) e DTF (fluxos diários de negociação)] tem dois </w:t>
      </w:r>
      <w:r w:rsidRPr="007B1664">
        <w:rPr>
          <w:rFonts w:ascii="Times New Roman" w:hAnsi="Times New Roman"/>
        </w:rPr>
        <w:t>quadros designados.</w:t>
      </w:r>
    </w:p>
    <w:p w14:paraId="529AD4D5" w14:textId="77777777" w:rsidR="000B1B99" w:rsidRPr="007B1664" w:rsidRDefault="007B1664">
      <w:pPr>
        <w:spacing w:line="256" w:lineRule="auto"/>
        <w:ind w:left="993" w:hanging="567"/>
        <w:jc w:val="both"/>
        <w:rPr>
          <w:rFonts w:ascii="Times New Roman" w:hAnsi="Times New Roman" w:cs="Times New Roman"/>
        </w:rPr>
      </w:pPr>
      <w:r w:rsidRPr="007B1664">
        <w:rPr>
          <w:rFonts w:ascii="Times New Roman" w:hAnsi="Times New Roman" w:cs="Times New Roman"/>
        </w:rPr>
        <w:t>13.</w:t>
      </w:r>
      <w:r w:rsidRPr="007B1664">
        <w:rPr>
          <w:rFonts w:ascii="Times New Roman" w:hAnsi="Times New Roman" w:cs="Times New Roman"/>
        </w:rPr>
        <w:tab/>
      </w:r>
      <w:r w:rsidRPr="007B1664">
        <w:rPr>
          <w:rFonts w:ascii="Times New Roman" w:hAnsi="Times New Roman"/>
        </w:rPr>
        <w:t>O primeiro quadro contém, nas colunas, informações respeitantes ao «Montante dos fatores» de cada mês do trimestre objeto de comunicação de informações. O montante dos fatores é o valor utilizado para o cálculo de cada fator K antes</w:t>
      </w:r>
      <w:r w:rsidRPr="007B1664">
        <w:rPr>
          <w:rFonts w:ascii="Times New Roman" w:hAnsi="Times New Roman"/>
        </w:rPr>
        <w:t xml:space="preserve"> da aplicação do coeficiente constante do quadro 1 do artigo 15.</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2, do Regulamento (UE) 2019/2033.</w:t>
      </w:r>
    </w:p>
    <w:p w14:paraId="18E3E28C" w14:textId="77777777" w:rsidR="000B1B99" w:rsidRPr="007B1664" w:rsidRDefault="007B1664">
      <w:pPr>
        <w:spacing w:line="256" w:lineRule="auto"/>
        <w:ind w:left="993" w:hanging="567"/>
        <w:jc w:val="both"/>
        <w:rPr>
          <w:rFonts w:ascii="Times New Roman" w:hAnsi="Times New Roman" w:cs="Times New Roman"/>
        </w:rPr>
      </w:pPr>
      <w:r w:rsidRPr="007B1664">
        <w:rPr>
          <w:rFonts w:ascii="Times New Roman" w:hAnsi="Times New Roman" w:cs="Times New Roman"/>
        </w:rPr>
        <w:t>14.</w:t>
      </w:r>
      <w:r w:rsidRPr="007B1664">
        <w:rPr>
          <w:rFonts w:ascii="Times New Roman" w:hAnsi="Times New Roman" w:cs="Times New Roman"/>
        </w:rPr>
        <w:tab/>
      </w:r>
      <w:r w:rsidRPr="007B1664">
        <w:rPr>
          <w:rFonts w:ascii="Times New Roman" w:hAnsi="Times New Roman"/>
        </w:rPr>
        <w:t>O segundo quadro contém informações pormenorizadas necessárias para calcular o montante dos fatores.</w:t>
      </w:r>
    </w:p>
    <w:p w14:paraId="7976CF4D" w14:textId="77777777" w:rsidR="000B1B99" w:rsidRPr="007B1664" w:rsidRDefault="007B1664">
      <w:pPr>
        <w:spacing w:line="256" w:lineRule="auto"/>
        <w:ind w:left="993"/>
        <w:jc w:val="both"/>
        <w:rPr>
          <w:rFonts w:ascii="Times New Roman" w:hAnsi="Times New Roman" w:cs="Times New Roman"/>
        </w:rPr>
      </w:pPr>
      <w:r w:rsidRPr="007B1664">
        <w:rPr>
          <w:rFonts w:ascii="Times New Roman" w:hAnsi="Times New Roman"/>
        </w:rPr>
        <w:t>No caso dos AUM, corresponde ao valor dos ativ</w:t>
      </w:r>
      <w:r w:rsidRPr="007B1664">
        <w:rPr>
          <w:rFonts w:ascii="Times New Roman" w:hAnsi="Times New Roman"/>
        </w:rPr>
        <w:t>os sob gestão no último dia do mês, como especificado no artigo 17.</w:t>
      </w:r>
      <w:r w:rsidRPr="007B1664">
        <w:rPr>
          <w:rFonts w:ascii="Times New Roman" w:hAnsi="Times New Roman"/>
          <w:vertAlign w:val="superscript"/>
        </w:rPr>
        <w:t>o</w:t>
      </w:r>
      <w:r w:rsidRPr="007B1664">
        <w:rPr>
          <w:rFonts w:ascii="Times New Roman" w:hAnsi="Times New Roman"/>
        </w:rPr>
        <w:t xml:space="preserve"> do Regulamento (UE) 2019/2033.</w:t>
      </w:r>
    </w:p>
    <w:p w14:paraId="5DFBB0E3" w14:textId="77777777" w:rsidR="000B1B99" w:rsidRPr="007B1664" w:rsidRDefault="007B1664">
      <w:pPr>
        <w:spacing w:line="256" w:lineRule="auto"/>
        <w:ind w:left="993"/>
        <w:jc w:val="both"/>
        <w:rPr>
          <w:rFonts w:ascii="Times New Roman" w:hAnsi="Times New Roman" w:cs="Times New Roman"/>
        </w:rPr>
      </w:pPr>
      <w:r w:rsidRPr="007B1664">
        <w:rPr>
          <w:rFonts w:ascii="Times New Roman" w:hAnsi="Times New Roman"/>
        </w:rPr>
        <w:t>No caso de CMH, ASA, COH e DTF, o valor comunicado deve corresponder à média do valor diário do indicador relevante ao longo do mês.</w:t>
      </w:r>
    </w:p>
    <w:p w14:paraId="1BBDCE4E"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u w:val="single"/>
        </w:rPr>
      </w:pPr>
      <w:bookmarkStart w:id="56" w:name="_Toc88247676"/>
      <w:r w:rsidRPr="007B1664">
        <w:rPr>
          <w:rFonts w:ascii="Times New Roman" w:hAnsi="Times New Roman"/>
          <w:u w:val="single"/>
        </w:rPr>
        <w:t xml:space="preserve">3.2. I 06.01 – </w:t>
      </w:r>
      <w:r w:rsidRPr="007B1664">
        <w:rPr>
          <w:rFonts w:ascii="Times New Roman" w:hAnsi="Times New Roman"/>
          <w:u w:val="single"/>
        </w:rPr>
        <w:t>ATIVOS SOB GESTÃO - INFORMAÇÕES ADICIONAIS (I 6.1)</w:t>
      </w:r>
      <w:bookmarkEnd w:id="56"/>
    </w:p>
    <w:p w14:paraId="5BA05802" w14:textId="77777777" w:rsidR="000B1B99" w:rsidRPr="007B1664" w:rsidRDefault="007B1664">
      <w:pPr>
        <w:keepNext/>
        <w:spacing w:before="240" w:after="240" w:line="240" w:lineRule="auto"/>
        <w:ind w:left="357" w:hanging="357"/>
        <w:jc w:val="both"/>
        <w:outlineLvl w:val="1"/>
      </w:pPr>
      <w:bookmarkStart w:id="57" w:name="_Toc88247677"/>
      <w:r w:rsidRPr="007B1664">
        <w:rPr>
          <w:rFonts w:ascii="Times New Roman" w:hAnsi="Times New Roman"/>
        </w:rPr>
        <w:t>3.2.1.</w:t>
      </w:r>
      <w:r w:rsidRPr="007B1664">
        <w:rPr>
          <w:rFonts w:ascii="Times New Roman" w:hAnsi="Times New Roman"/>
        </w:rPr>
        <w:tab/>
      </w:r>
      <w:r w:rsidRPr="007B1664">
        <w:rPr>
          <w:rFonts w:ascii="Times New Roman" w:hAnsi="Times New Roman"/>
          <w:u w:val="single"/>
        </w:rPr>
        <w:t>Instruções relativas a posições específicas</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650B1E60" w14:textId="77777777">
        <w:tc>
          <w:tcPr>
            <w:tcW w:w="1129" w:type="dxa"/>
            <w:shd w:val="clear" w:color="auto" w:fill="D9D9D9"/>
          </w:tcPr>
          <w:p w14:paraId="315D1E1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5C59331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506DAA86" w14:textId="77777777">
        <w:tc>
          <w:tcPr>
            <w:tcW w:w="1129" w:type="dxa"/>
          </w:tcPr>
          <w:p w14:paraId="76993B3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F818DD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Total dos ativos sob gestão (montantes médios)</w:t>
            </w:r>
          </w:p>
          <w:p w14:paraId="582C2BE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ponto 27, do Regulamento (UE) </w:t>
            </w:r>
            <w:r w:rsidRPr="007B1664">
              <w:rPr>
                <w:rFonts w:ascii="Times New Roman" w:hAnsi="Times New Roman"/>
                <w:bCs/>
              </w:rPr>
              <w:t>2019/2033.</w:t>
            </w:r>
          </w:p>
          <w:p w14:paraId="319C336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Valor total dos AUM como média aritmética em conformidade com o artigo 17.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 O valor comunicado deve ser a soma das linhas 0020 e 0040.</w:t>
            </w:r>
          </w:p>
        </w:tc>
      </w:tr>
      <w:tr w:rsidR="000B1B99" w:rsidRPr="007B1664" w14:paraId="56678C77" w14:textId="77777777">
        <w:tc>
          <w:tcPr>
            <w:tcW w:w="1129" w:type="dxa"/>
          </w:tcPr>
          <w:p w14:paraId="1A33ACE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7DB63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Ativos sob gestão - Gestão discricioná</w:t>
            </w:r>
            <w:r w:rsidRPr="007B1664">
              <w:rPr>
                <w:rFonts w:ascii="Times New Roman" w:hAnsi="Times New Roman"/>
                <w:b/>
                <w:bCs/>
                <w:u w:val="single"/>
              </w:rPr>
              <w:t>ria de carteiras</w:t>
            </w:r>
          </w:p>
          <w:p w14:paraId="30C37B8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Montante total dos ativos em relação aos quais a empresa de investimento presta serviços de gestão de carteiras, definida no 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8, da Diretiva 2014/65/UE, e calculado nos termos do artigo 17.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w:t>
            </w:r>
            <w:r w:rsidRPr="007B1664">
              <w:rPr>
                <w:rFonts w:ascii="Times New Roman" w:hAnsi="Times New Roman"/>
                <w:bCs/>
              </w:rPr>
              <w:t>UE) 2019/2033.</w:t>
            </w:r>
          </w:p>
        </w:tc>
      </w:tr>
      <w:tr w:rsidR="000B1B99" w:rsidRPr="007B1664" w14:paraId="70364701" w14:textId="77777777">
        <w:tc>
          <w:tcPr>
            <w:tcW w:w="1129" w:type="dxa"/>
          </w:tcPr>
          <w:p w14:paraId="5D848C9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1180A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Ativos sob gestão formalmente delegada noutra entidade</w:t>
            </w:r>
          </w:p>
          <w:p w14:paraId="57804DD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17.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tc>
      </w:tr>
      <w:tr w:rsidR="000B1B99" w:rsidRPr="007B1664" w14:paraId="233CF01C" w14:textId="77777777">
        <w:tc>
          <w:tcPr>
            <w:tcW w:w="1129" w:type="dxa"/>
          </w:tcPr>
          <w:p w14:paraId="6D4EE9C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6B26E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sob gestão - Aconselhamento não discricionário em curso</w:t>
            </w:r>
          </w:p>
          <w:p w14:paraId="34BF200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Montante total dos ativos em relação aos quais a </w:t>
            </w:r>
            <w:r w:rsidRPr="007B1664">
              <w:rPr>
                <w:rFonts w:ascii="Times New Roman" w:hAnsi="Times New Roman"/>
                <w:bCs/>
              </w:rPr>
              <w:t>empresa de investimento presta serviços de consultoria para investimento, definida no 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4, da Diretiva 2014/65/UE, numa base contínua e não discricionária.</w:t>
            </w:r>
          </w:p>
        </w:tc>
      </w:tr>
    </w:tbl>
    <w:p w14:paraId="73D418CB" w14:textId="77777777" w:rsidR="000B1B99" w:rsidRPr="007B1664" w:rsidRDefault="000B1B9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7492805B" w14:textId="77777777">
        <w:tc>
          <w:tcPr>
            <w:tcW w:w="1129" w:type="dxa"/>
            <w:shd w:val="clear" w:color="auto" w:fill="D9D9D9"/>
          </w:tcPr>
          <w:p w14:paraId="2AC80D8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57BC799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74DCF6AE" w14:textId="77777777">
        <w:tc>
          <w:tcPr>
            <w:tcW w:w="1129" w:type="dxa"/>
          </w:tcPr>
          <w:p w14:paraId="33531AB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1634E1D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Montante dos </w:t>
            </w:r>
            <w:r w:rsidRPr="007B1664">
              <w:rPr>
                <w:rFonts w:ascii="Times New Roman" w:hAnsi="Times New Roman"/>
                <w:b/>
                <w:bCs/>
                <w:u w:val="single"/>
              </w:rPr>
              <w:t>fatores - Mês t</w:t>
            </w:r>
          </w:p>
          <w:p w14:paraId="05C86BD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Ativos sob gestão no final do terceiro mês (ou seja, o mais recente) do trimestre a que o relatório se refere.</w:t>
            </w:r>
          </w:p>
        </w:tc>
      </w:tr>
      <w:tr w:rsidR="000B1B99" w:rsidRPr="007B1664" w14:paraId="7ECA519A" w14:textId="77777777">
        <w:tc>
          <w:tcPr>
            <w:tcW w:w="1129" w:type="dxa"/>
          </w:tcPr>
          <w:p w14:paraId="5BF0758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Pr>
          <w:p w14:paraId="32D9DA3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Montante dos fatores - Mês t-1</w:t>
            </w:r>
          </w:p>
          <w:p w14:paraId="6A955AD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Ativos sob gestão no segundo mês do trimestre a que o relatório se refere.</w:t>
            </w:r>
          </w:p>
        </w:tc>
      </w:tr>
      <w:tr w:rsidR="000B1B99" w:rsidRPr="007B1664" w14:paraId="5D30D82E" w14:textId="77777777">
        <w:tc>
          <w:tcPr>
            <w:tcW w:w="1129" w:type="dxa"/>
          </w:tcPr>
          <w:p w14:paraId="32A971F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2984DAB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Montante do</w:t>
            </w:r>
            <w:r w:rsidRPr="007B1664">
              <w:rPr>
                <w:rFonts w:ascii="Times New Roman" w:hAnsi="Times New Roman"/>
                <w:b/>
                <w:bCs/>
                <w:u w:val="single"/>
              </w:rPr>
              <w:t>s fatores - Mês t-2</w:t>
            </w:r>
          </w:p>
          <w:p w14:paraId="68C809E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Ativos sob gestão no primeiro mês do trimestre a que o relatório se refere.</w:t>
            </w:r>
          </w:p>
        </w:tc>
      </w:tr>
    </w:tbl>
    <w:p w14:paraId="35E240D1"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u w:val="single"/>
        </w:rPr>
      </w:pPr>
      <w:bookmarkStart w:id="58" w:name="_Toc88247678"/>
      <w:r w:rsidRPr="007B1664">
        <w:rPr>
          <w:rFonts w:ascii="Times New Roman" w:hAnsi="Times New Roman"/>
          <w:u w:val="single"/>
        </w:rPr>
        <w:lastRenderedPageBreak/>
        <w:t>3.3. I 06.02 – ATIVOS SOB GESTÃO MENSAIS (I 6.2)</w:t>
      </w:r>
      <w:bookmarkEnd w:id="58"/>
    </w:p>
    <w:p w14:paraId="43DD5F2D"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rPr>
      </w:pPr>
      <w:bookmarkStart w:id="59" w:name="_Toc88247679"/>
      <w:r w:rsidRPr="007B1664">
        <w:rPr>
          <w:rFonts w:ascii="Times New Roman" w:hAnsi="Times New Roman"/>
        </w:rPr>
        <w:t>3.3.1.</w:t>
      </w:r>
      <w:r w:rsidRPr="007B1664">
        <w:rPr>
          <w:rFonts w:ascii="Times New Roman" w:hAnsi="Times New Roman"/>
        </w:rPr>
        <w:tab/>
      </w:r>
      <w:r w:rsidRPr="007B1664">
        <w:rPr>
          <w:rFonts w:ascii="Times New Roman" w:hAnsi="Times New Roman"/>
          <w:u w:val="single"/>
        </w:rPr>
        <w:t>Instruções relativas a posições específicas</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7E28D45C" w14:textId="77777777">
        <w:tc>
          <w:tcPr>
            <w:tcW w:w="1129" w:type="dxa"/>
            <w:shd w:val="clear" w:color="auto" w:fill="D9D9D9"/>
          </w:tcPr>
          <w:p w14:paraId="1E99259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7444602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63534B14" w14:textId="77777777">
        <w:tc>
          <w:tcPr>
            <w:tcW w:w="1129" w:type="dxa"/>
          </w:tcPr>
          <w:p w14:paraId="7F67CFB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C98C14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Total </w:t>
            </w:r>
            <w:r w:rsidRPr="007B1664">
              <w:rPr>
                <w:rFonts w:ascii="Times New Roman" w:hAnsi="Times New Roman"/>
                <w:b/>
                <w:bCs/>
                <w:u w:val="single"/>
              </w:rPr>
              <w:t>mensal de ativos sob gestão</w:t>
            </w:r>
          </w:p>
          <w:p w14:paraId="1B3A946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27, do Regulamento (UE) 2019/2033.</w:t>
            </w:r>
          </w:p>
          <w:p w14:paraId="315B4F2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total mensal dos ativos sob gestão no último dia útil do mês em causa a que se refere o artigo 17.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16F8D6C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valor comunicado nesta co</w:t>
            </w:r>
            <w:r w:rsidRPr="007B1664">
              <w:rPr>
                <w:rFonts w:ascii="Times New Roman" w:hAnsi="Times New Roman"/>
                <w:bCs/>
              </w:rPr>
              <w:t>luna deve ser a soma das linhas 0020 e 0040.</w:t>
            </w:r>
          </w:p>
        </w:tc>
      </w:tr>
      <w:tr w:rsidR="000B1B99" w:rsidRPr="007B1664" w14:paraId="033BABD6" w14:textId="77777777">
        <w:tc>
          <w:tcPr>
            <w:tcW w:w="1129" w:type="dxa"/>
          </w:tcPr>
          <w:p w14:paraId="0D743B7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1A587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Ativos mensais sob gestão - gestão discricionária de carteiras</w:t>
            </w:r>
          </w:p>
          <w:p w14:paraId="70BFA57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montante comunicado deve ser o dos ativos mensais em relação aos quais a empresa de investimento presta serviços de gestão de carteiras, def</w:t>
            </w:r>
            <w:r w:rsidRPr="007B1664">
              <w:rPr>
                <w:rFonts w:ascii="Times New Roman" w:hAnsi="Times New Roman"/>
                <w:bCs/>
              </w:rPr>
              <w:t>inida no 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8, da Diretiva 2014/65/UE, no último dia útil do mês em causa a que se refere o artigo 17.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r w:rsidR="000B1B99" w:rsidRPr="007B1664" w14:paraId="2880626A" w14:textId="77777777">
        <w:tc>
          <w:tcPr>
            <w:tcW w:w="1129" w:type="dxa"/>
          </w:tcPr>
          <w:p w14:paraId="233BEFE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6F75D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Sendo: Ativos sob gestão formalmente delegada noutra entidade</w:t>
            </w:r>
          </w:p>
          <w:p w14:paraId="4808B2C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2, </w:t>
            </w:r>
            <w:r w:rsidRPr="007B1664">
              <w:rPr>
                <w:rFonts w:ascii="Times New Roman" w:hAnsi="Times New Roman"/>
                <w:bCs/>
              </w:rPr>
              <w:t>do Regulamento (UE) 2019/2033.</w:t>
            </w:r>
          </w:p>
          <w:p w14:paraId="10BFC8A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Ativos mensais cuja gestão foi delegada formalmente noutra entidade comunicados no último dia útil do mês em causa. </w:t>
            </w:r>
          </w:p>
        </w:tc>
      </w:tr>
      <w:tr w:rsidR="000B1B99" w:rsidRPr="007B1664" w14:paraId="313B0386" w14:textId="77777777">
        <w:tc>
          <w:tcPr>
            <w:tcW w:w="1129" w:type="dxa"/>
          </w:tcPr>
          <w:p w14:paraId="604C508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B9301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Ativos mensais sob gestão - aconselhamento não discricionário em curso</w:t>
            </w:r>
          </w:p>
          <w:p w14:paraId="5D76CA4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Montante total dos ativos em re</w:t>
            </w:r>
            <w:r w:rsidRPr="007B1664">
              <w:rPr>
                <w:rFonts w:ascii="Times New Roman" w:hAnsi="Times New Roman"/>
                <w:bCs/>
              </w:rPr>
              <w:t>lação aos quais a empresa de investimento presta serviços de consultoria para investimento, definida no 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4, da Diretiva 2014/65/UE, numa base contínua e não discricionária, comunicado no último dia útil do mês em causa.</w:t>
            </w:r>
          </w:p>
        </w:tc>
      </w:tr>
    </w:tbl>
    <w:p w14:paraId="4002FD94" w14:textId="77777777" w:rsidR="000B1B99" w:rsidRPr="007B1664" w:rsidRDefault="000B1B99">
      <w:pPr>
        <w:keepNext/>
        <w:spacing w:after="12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5D9209B4" w14:textId="77777777">
        <w:tc>
          <w:tcPr>
            <w:tcW w:w="1129" w:type="dxa"/>
            <w:shd w:val="clear" w:color="auto" w:fill="D9D9D9"/>
          </w:tcPr>
          <w:p w14:paraId="4DC6DEB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615A3AE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w:t>
            </w:r>
            <w:r w:rsidRPr="007B1664">
              <w:rPr>
                <w:rFonts w:ascii="Times New Roman" w:hAnsi="Times New Roman"/>
              </w:rPr>
              <w:t>ferências jurídicas e instruções</w:t>
            </w:r>
          </w:p>
        </w:tc>
      </w:tr>
      <w:tr w:rsidR="000B1B99" w:rsidRPr="007B1664" w14:paraId="03E61279" w14:textId="77777777">
        <w:tc>
          <w:tcPr>
            <w:tcW w:w="1129" w:type="dxa"/>
          </w:tcPr>
          <w:p w14:paraId="468B262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0010-0140</w:t>
            </w:r>
          </w:p>
        </w:tc>
        <w:tc>
          <w:tcPr>
            <w:tcW w:w="7620" w:type="dxa"/>
          </w:tcPr>
          <w:p w14:paraId="6344090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Valores de fim de mês</w:t>
            </w:r>
          </w:p>
          <w:p w14:paraId="441C11D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Devem ser comunicados os valores no último dia útil do mês em causa a que se refere o artigo 17.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bl>
    <w:p w14:paraId="2C5F4E80"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u w:val="single"/>
        </w:rPr>
      </w:pPr>
      <w:bookmarkStart w:id="60" w:name="_Toc88247680"/>
      <w:r w:rsidRPr="007B1664">
        <w:rPr>
          <w:rFonts w:ascii="Times New Roman" w:hAnsi="Times New Roman"/>
          <w:u w:val="single"/>
        </w:rPr>
        <w:t xml:space="preserve">3.4. I 06.03 – FUNDOS DE CLIENTES DETIDOS - </w:t>
      </w:r>
      <w:r w:rsidRPr="007B1664">
        <w:rPr>
          <w:rFonts w:ascii="Times New Roman" w:hAnsi="Times New Roman"/>
          <w:u w:val="single"/>
        </w:rPr>
        <w:t>INFORMAÇÕES ADICIONAIS (I 6.3)</w:t>
      </w:r>
      <w:bookmarkEnd w:id="60"/>
    </w:p>
    <w:p w14:paraId="5F535439" w14:textId="77777777" w:rsidR="000B1B99" w:rsidRPr="007B1664" w:rsidRDefault="007B1664">
      <w:pPr>
        <w:keepNext/>
        <w:spacing w:before="240" w:after="240" w:line="240" w:lineRule="auto"/>
        <w:ind w:left="357" w:hanging="357"/>
        <w:jc w:val="both"/>
        <w:outlineLvl w:val="1"/>
      </w:pPr>
      <w:bookmarkStart w:id="61" w:name="_Toc88247681"/>
      <w:r w:rsidRPr="007B1664">
        <w:rPr>
          <w:rFonts w:ascii="Times New Roman" w:hAnsi="Times New Roman"/>
        </w:rPr>
        <w:t>3.4.1.</w:t>
      </w:r>
      <w:r w:rsidRPr="007B1664">
        <w:rPr>
          <w:rFonts w:ascii="Times New Roman" w:hAnsi="Times New Roman"/>
        </w:rPr>
        <w:tab/>
      </w:r>
      <w:r w:rsidRPr="007B1664">
        <w:rPr>
          <w:rFonts w:ascii="Times New Roman" w:hAnsi="Times New Roman"/>
          <w:u w:val="single"/>
        </w:rPr>
        <w:t>Instruções relativas a posições específicas</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6CF8BFEC" w14:textId="77777777">
        <w:tc>
          <w:tcPr>
            <w:tcW w:w="1129" w:type="dxa"/>
            <w:shd w:val="clear" w:color="auto" w:fill="D9D9D9"/>
          </w:tcPr>
          <w:p w14:paraId="1AD2F2B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29B702F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3554526F" w14:textId="77777777">
        <w:tc>
          <w:tcPr>
            <w:tcW w:w="1129" w:type="dxa"/>
            <w:tcBorders>
              <w:bottom w:val="single" w:sz="4" w:space="0" w:color="auto"/>
            </w:tcBorders>
          </w:tcPr>
          <w:p w14:paraId="1DE7C1E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F06E72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Fundos de clientes detidos - Segregados (montantes médios)</w:t>
            </w:r>
          </w:p>
          <w:p w14:paraId="26DF99E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pontos 28 e 49, do Regulamento (UE) </w:t>
            </w:r>
            <w:r w:rsidRPr="007B1664">
              <w:rPr>
                <w:rFonts w:ascii="Times New Roman" w:hAnsi="Times New Roman"/>
                <w:bCs/>
              </w:rPr>
              <w:t>2019/2033 e artigo 1.</w:t>
            </w:r>
            <w:r w:rsidRPr="007B1664">
              <w:rPr>
                <w:rFonts w:ascii="Times New Roman" w:hAnsi="Times New Roman"/>
                <w:bCs/>
                <w:vertAlign w:val="superscript"/>
              </w:rPr>
              <w:t>o</w:t>
            </w:r>
            <w:r w:rsidRPr="007B1664">
              <w:rPr>
                <w:rFonts w:ascii="Times New Roman" w:hAnsi="Times New Roman"/>
                <w:bCs/>
              </w:rPr>
              <w:t xml:space="preserve"> da NTR relativas à definição de contas segregadas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alínea b), do Regulamento (UE) 2019/2033).</w:t>
            </w:r>
          </w:p>
          <w:p w14:paraId="6B1F92E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O valor comunicado deve ser a média aritmética dos valores diários dos CMH quando os fundos dos clientes </w:t>
            </w:r>
            <w:r w:rsidRPr="007B1664">
              <w:rPr>
                <w:rFonts w:ascii="Times New Roman" w:hAnsi="Times New Roman"/>
                <w:bCs/>
                <w:u w:val="single"/>
              </w:rPr>
              <w:t>são detidos</w:t>
            </w:r>
            <w:r w:rsidRPr="007B1664">
              <w:rPr>
                <w:rFonts w:ascii="Times New Roman" w:hAnsi="Times New Roman"/>
                <w:bCs/>
              </w:rPr>
              <w:t xml:space="preserve"> em</w:t>
            </w:r>
            <w:r w:rsidRPr="007B1664">
              <w:rPr>
                <w:rFonts w:ascii="Times New Roman" w:hAnsi="Times New Roman"/>
                <w:bCs/>
              </w:rPr>
              <w:t xml:space="preserve"> contas segregadas, em conformidade com o artigo 18.</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w:t>
            </w:r>
          </w:p>
        </w:tc>
      </w:tr>
      <w:tr w:rsidR="000B1B99" w:rsidRPr="007B1664" w14:paraId="7FDC3FD2" w14:textId="77777777">
        <w:tc>
          <w:tcPr>
            <w:tcW w:w="1129" w:type="dxa"/>
            <w:tcBorders>
              <w:top w:val="single" w:sz="4" w:space="0" w:color="auto"/>
              <w:bottom w:val="single" w:sz="4" w:space="0" w:color="auto"/>
            </w:tcBorders>
          </w:tcPr>
          <w:p w14:paraId="7EEB38F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0F5A1B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Fundos de clientes detidos - Não segregados (montantes médios)</w:t>
            </w:r>
          </w:p>
          <w:p w14:paraId="0A48D93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pontos 28 e 49, do Regulamento (UE) </w:t>
            </w:r>
            <w:r w:rsidRPr="007B1664">
              <w:rPr>
                <w:rFonts w:ascii="Times New Roman" w:hAnsi="Times New Roman"/>
                <w:bCs/>
              </w:rPr>
              <w:t>2019/2033.</w:t>
            </w:r>
          </w:p>
          <w:p w14:paraId="27C3067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O valor comunicado deve ser a média aritmética dos valores diários dos CMH quando os fundos dos clientes </w:t>
            </w:r>
            <w:r w:rsidRPr="007B1664">
              <w:rPr>
                <w:rFonts w:ascii="Times New Roman" w:hAnsi="Times New Roman"/>
                <w:bCs/>
                <w:u w:val="single"/>
              </w:rPr>
              <w:t>não são detidos</w:t>
            </w:r>
            <w:r w:rsidRPr="007B1664">
              <w:rPr>
                <w:rFonts w:ascii="Times New Roman" w:hAnsi="Times New Roman"/>
                <w:bCs/>
              </w:rPr>
              <w:t xml:space="preserve"> em contas segregadas, em conformidade com o artigo 18.</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w:t>
            </w:r>
          </w:p>
        </w:tc>
      </w:tr>
    </w:tbl>
    <w:p w14:paraId="3F8962C2" w14:textId="77777777" w:rsidR="000B1B99" w:rsidRPr="007B1664" w:rsidRDefault="000B1B9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741AD8BA" w14:textId="77777777">
        <w:tc>
          <w:tcPr>
            <w:tcW w:w="1129" w:type="dxa"/>
            <w:shd w:val="clear" w:color="auto" w:fill="D9D9D9"/>
          </w:tcPr>
          <w:p w14:paraId="149E95E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22E9883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14A0B10F" w14:textId="77777777">
        <w:tc>
          <w:tcPr>
            <w:tcW w:w="1129" w:type="dxa"/>
          </w:tcPr>
          <w:p w14:paraId="44F94D5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2B198A9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Montante dos fatores - Mês t</w:t>
            </w:r>
          </w:p>
          <w:p w14:paraId="0DE6268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Ativos sob gestão no final do terceiro mês (ou seja, o mês mais recente) do trimestre a que o relatório se refere.</w:t>
            </w:r>
          </w:p>
          <w:p w14:paraId="5161164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Este montante é calculado como a média aritmética dos </w:t>
            </w:r>
            <w:r w:rsidRPr="007B1664">
              <w:rPr>
                <w:rFonts w:ascii="Times New Roman" w:hAnsi="Times New Roman"/>
                <w:bCs/>
              </w:rPr>
              <w:t>montantes diários no período especificado no artigo 18.</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r w:rsidR="000B1B99" w:rsidRPr="007B1664" w14:paraId="7C328E0D" w14:textId="77777777">
        <w:tc>
          <w:tcPr>
            <w:tcW w:w="1129" w:type="dxa"/>
          </w:tcPr>
          <w:p w14:paraId="73B54B50" w14:textId="77777777" w:rsidR="000B1B99" w:rsidRPr="007B1664" w:rsidRDefault="007B1664">
            <w:pPr>
              <w:spacing w:after="120" w:line="240" w:lineRule="auto"/>
              <w:jc w:val="both"/>
              <w:rPr>
                <w:rFonts w:ascii="Times New Roman" w:eastAsia="Times New Roman" w:hAnsi="Times New Roman" w:cs="Times New Roman"/>
                <w:bCs/>
                <w:sz w:val="24"/>
                <w:szCs w:val="24"/>
              </w:rPr>
            </w:pPr>
            <w:r w:rsidRPr="007B1664">
              <w:rPr>
                <w:rFonts w:ascii="Times New Roman" w:hAnsi="Times New Roman"/>
                <w:bCs/>
                <w:sz w:val="24"/>
                <w:szCs w:val="24"/>
              </w:rPr>
              <w:t>0020</w:t>
            </w:r>
          </w:p>
        </w:tc>
        <w:tc>
          <w:tcPr>
            <w:tcW w:w="7620" w:type="dxa"/>
          </w:tcPr>
          <w:p w14:paraId="0D17251E" w14:textId="77777777" w:rsidR="000B1B99" w:rsidRPr="007B1664" w:rsidRDefault="007B1664">
            <w:pPr>
              <w:spacing w:after="120" w:line="240" w:lineRule="auto"/>
              <w:jc w:val="both"/>
              <w:rPr>
                <w:rFonts w:ascii="Times New Roman" w:eastAsia="Times New Roman" w:hAnsi="Times New Roman" w:cs="Times New Roman"/>
                <w:b/>
                <w:bCs/>
                <w:sz w:val="24"/>
                <w:szCs w:val="24"/>
                <w:u w:val="single"/>
              </w:rPr>
            </w:pPr>
            <w:r w:rsidRPr="007B1664">
              <w:rPr>
                <w:rFonts w:ascii="Times New Roman" w:hAnsi="Times New Roman"/>
                <w:b/>
                <w:bCs/>
                <w:sz w:val="24"/>
                <w:szCs w:val="24"/>
                <w:u w:val="single"/>
              </w:rPr>
              <w:t>Montante dos fatores - Mês t-1</w:t>
            </w:r>
          </w:p>
          <w:p w14:paraId="4BF7967C" w14:textId="77777777" w:rsidR="000B1B99" w:rsidRPr="007B1664" w:rsidRDefault="007B1664">
            <w:pPr>
              <w:spacing w:after="120" w:line="240" w:lineRule="auto"/>
              <w:jc w:val="both"/>
              <w:rPr>
                <w:rFonts w:ascii="Times New Roman" w:eastAsia="Times New Roman" w:hAnsi="Times New Roman" w:cs="Times New Roman"/>
                <w:bCs/>
                <w:sz w:val="24"/>
                <w:szCs w:val="24"/>
              </w:rPr>
            </w:pPr>
            <w:r w:rsidRPr="007B1664">
              <w:rPr>
                <w:rFonts w:ascii="Times New Roman" w:hAnsi="Times New Roman"/>
                <w:bCs/>
                <w:sz w:val="24"/>
                <w:szCs w:val="24"/>
              </w:rPr>
              <w:t>Fundos de clientes detidos no final do segundo mês do trimestre a que o relatório se refere.</w:t>
            </w:r>
          </w:p>
          <w:p w14:paraId="745501CA" w14:textId="77777777" w:rsidR="000B1B99" w:rsidRPr="007B1664" w:rsidRDefault="007B1664">
            <w:pPr>
              <w:spacing w:after="120" w:line="240" w:lineRule="auto"/>
              <w:jc w:val="both"/>
              <w:rPr>
                <w:rFonts w:ascii="Times New Roman" w:eastAsia="Times New Roman" w:hAnsi="Times New Roman" w:cs="Times New Roman"/>
                <w:b/>
                <w:bCs/>
                <w:sz w:val="24"/>
                <w:szCs w:val="24"/>
                <w:u w:val="single"/>
              </w:rPr>
            </w:pPr>
            <w:r w:rsidRPr="007B1664">
              <w:rPr>
                <w:rFonts w:ascii="Times New Roman" w:hAnsi="Times New Roman"/>
                <w:bCs/>
              </w:rPr>
              <w:t xml:space="preserve">Este montante é </w:t>
            </w:r>
            <w:r w:rsidRPr="007B1664">
              <w:rPr>
                <w:rFonts w:ascii="Times New Roman" w:hAnsi="Times New Roman"/>
                <w:bCs/>
              </w:rPr>
              <w:t>calculado como a média aritmética dos montantes diários no período especificado no artigo 18.</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r w:rsidR="000B1B99" w:rsidRPr="007B1664" w14:paraId="2C102D15" w14:textId="77777777">
        <w:tc>
          <w:tcPr>
            <w:tcW w:w="1129" w:type="dxa"/>
          </w:tcPr>
          <w:p w14:paraId="3A8089AD" w14:textId="77777777" w:rsidR="000B1B99" w:rsidRPr="007B1664" w:rsidRDefault="007B1664">
            <w:pPr>
              <w:spacing w:after="120" w:line="240" w:lineRule="auto"/>
              <w:jc w:val="both"/>
              <w:rPr>
                <w:rFonts w:ascii="Times New Roman" w:eastAsia="Times New Roman" w:hAnsi="Times New Roman" w:cs="Times New Roman"/>
                <w:bCs/>
                <w:sz w:val="24"/>
                <w:szCs w:val="24"/>
              </w:rPr>
            </w:pPr>
            <w:r w:rsidRPr="007B1664">
              <w:rPr>
                <w:rFonts w:ascii="Times New Roman" w:hAnsi="Times New Roman"/>
                <w:bCs/>
                <w:sz w:val="24"/>
                <w:szCs w:val="24"/>
              </w:rPr>
              <w:t>0030</w:t>
            </w:r>
          </w:p>
        </w:tc>
        <w:tc>
          <w:tcPr>
            <w:tcW w:w="7620" w:type="dxa"/>
          </w:tcPr>
          <w:p w14:paraId="702E7C8C" w14:textId="77777777" w:rsidR="000B1B99" w:rsidRPr="007B1664" w:rsidRDefault="007B1664">
            <w:pPr>
              <w:spacing w:after="120" w:line="240" w:lineRule="auto"/>
              <w:jc w:val="both"/>
              <w:rPr>
                <w:rFonts w:ascii="Times New Roman" w:eastAsia="Times New Roman" w:hAnsi="Times New Roman" w:cs="Times New Roman"/>
                <w:b/>
                <w:bCs/>
                <w:sz w:val="24"/>
                <w:szCs w:val="24"/>
                <w:u w:val="single"/>
              </w:rPr>
            </w:pPr>
            <w:r w:rsidRPr="007B1664">
              <w:rPr>
                <w:rFonts w:ascii="Times New Roman" w:hAnsi="Times New Roman"/>
                <w:b/>
                <w:bCs/>
                <w:sz w:val="24"/>
                <w:szCs w:val="24"/>
                <w:u w:val="single"/>
              </w:rPr>
              <w:t>Montante dos fatores - Mês t-2</w:t>
            </w:r>
          </w:p>
          <w:p w14:paraId="426D0ABC" w14:textId="77777777" w:rsidR="000B1B99" w:rsidRPr="007B1664" w:rsidRDefault="007B1664">
            <w:pPr>
              <w:spacing w:after="120" w:line="240" w:lineRule="auto"/>
              <w:jc w:val="both"/>
              <w:rPr>
                <w:rFonts w:ascii="Times New Roman" w:eastAsia="Times New Roman" w:hAnsi="Times New Roman" w:cs="Times New Roman"/>
                <w:bCs/>
                <w:sz w:val="24"/>
                <w:szCs w:val="24"/>
              </w:rPr>
            </w:pPr>
            <w:r w:rsidRPr="007B1664">
              <w:rPr>
                <w:rFonts w:ascii="Times New Roman" w:hAnsi="Times New Roman"/>
                <w:bCs/>
                <w:sz w:val="24"/>
                <w:szCs w:val="24"/>
              </w:rPr>
              <w:t xml:space="preserve">Fundos de clientes detidos no final do primeiro mês do trimestre a que o </w:t>
            </w:r>
            <w:r w:rsidRPr="007B1664">
              <w:rPr>
                <w:rFonts w:ascii="Times New Roman" w:hAnsi="Times New Roman"/>
                <w:bCs/>
                <w:sz w:val="24"/>
                <w:szCs w:val="24"/>
              </w:rPr>
              <w:t>relatório se refere.</w:t>
            </w:r>
          </w:p>
          <w:p w14:paraId="6C419C25" w14:textId="77777777" w:rsidR="000B1B99" w:rsidRPr="007B1664" w:rsidRDefault="007B1664">
            <w:pPr>
              <w:spacing w:after="120" w:line="240" w:lineRule="auto"/>
              <w:jc w:val="both"/>
              <w:rPr>
                <w:rFonts w:ascii="Times New Roman" w:eastAsia="Times New Roman" w:hAnsi="Times New Roman" w:cs="Times New Roman"/>
                <w:b/>
                <w:bCs/>
                <w:sz w:val="24"/>
                <w:szCs w:val="24"/>
                <w:u w:val="single"/>
              </w:rPr>
            </w:pPr>
            <w:r w:rsidRPr="007B1664">
              <w:rPr>
                <w:rFonts w:ascii="Times New Roman" w:hAnsi="Times New Roman"/>
                <w:bCs/>
              </w:rPr>
              <w:t>Este montante é calculado como a média aritmética dos montantes diários no período especificado no artigo 18.</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bl>
    <w:p w14:paraId="039E3901"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247682"/>
      <w:r w:rsidRPr="007B1664">
        <w:rPr>
          <w:rFonts w:ascii="Times New Roman" w:hAnsi="Times New Roman"/>
          <w:sz w:val="24"/>
          <w:szCs w:val="24"/>
          <w:u w:val="single"/>
        </w:rPr>
        <w:t>3.5. I 06.04 – VALOR MÉDIO DOS TOTAIS DIÁRIOS DE FUNDOS DE CLIENTES DETIDOS (I 6.4)</w:t>
      </w:r>
      <w:bookmarkEnd w:id="62"/>
    </w:p>
    <w:p w14:paraId="67FD7B95"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u w:val="single"/>
        </w:rPr>
      </w:pPr>
      <w:bookmarkStart w:id="63" w:name="_Toc88247683"/>
      <w:r w:rsidRPr="007B1664">
        <w:rPr>
          <w:rFonts w:ascii="Times New Roman" w:hAnsi="Times New Roman"/>
          <w:sz w:val="24"/>
          <w:szCs w:val="24"/>
        </w:rPr>
        <w:t>3.5.1.</w:t>
      </w:r>
      <w:r w:rsidRPr="007B1664">
        <w:rPr>
          <w:rFonts w:ascii="Times New Roman" w:hAnsi="Times New Roman"/>
          <w:sz w:val="24"/>
          <w:szCs w:val="24"/>
        </w:rPr>
        <w:tab/>
      </w:r>
      <w:r w:rsidRPr="007B1664">
        <w:rPr>
          <w:rFonts w:ascii="Times New Roman" w:hAnsi="Times New Roman"/>
          <w:u w:val="single"/>
        </w:rPr>
        <w:t>Instruções relativas a posições específicas</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755179B0" w14:textId="77777777">
        <w:tc>
          <w:tcPr>
            <w:tcW w:w="1129" w:type="dxa"/>
            <w:shd w:val="clear" w:color="auto" w:fill="D9D9D9"/>
          </w:tcPr>
          <w:p w14:paraId="027AE10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3F1720C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77B1E614" w14:textId="77777777">
        <w:tc>
          <w:tcPr>
            <w:tcW w:w="1129" w:type="dxa"/>
            <w:tcBorders>
              <w:bottom w:val="single" w:sz="4" w:space="0" w:color="auto"/>
            </w:tcBorders>
          </w:tcPr>
          <w:p w14:paraId="51B64E6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9EA637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Total diário de fundos de clientes detidos - Segregados</w:t>
            </w:r>
          </w:p>
          <w:p w14:paraId="0FF69FD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pontos 28 e 49, do Regulamento (UE) 2019/2033 e NTR relativa à definição de </w:t>
            </w:r>
            <w:r w:rsidRPr="007B1664">
              <w:rPr>
                <w:rFonts w:ascii="Times New Roman" w:hAnsi="Times New Roman"/>
                <w:bCs/>
              </w:rPr>
              <w:t>contas segregadas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alínea b), do Regulamento (UE) 2019/2033).</w:t>
            </w:r>
          </w:p>
          <w:p w14:paraId="035F3CF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O valor comunicado deve corresponder à média mensal dos valores diários dos CMH quando os fundos dos clientes </w:t>
            </w:r>
            <w:r w:rsidRPr="007B1664">
              <w:rPr>
                <w:rFonts w:ascii="Times New Roman" w:hAnsi="Times New Roman"/>
                <w:bCs/>
                <w:u w:val="single"/>
              </w:rPr>
              <w:t>são detidos</w:t>
            </w:r>
            <w:r w:rsidRPr="007B1664">
              <w:rPr>
                <w:rFonts w:ascii="Times New Roman" w:hAnsi="Times New Roman"/>
                <w:bCs/>
              </w:rPr>
              <w:t xml:space="preserve"> em contas segregadas, em conformidade com o artigo 1</w:t>
            </w:r>
            <w:r w:rsidRPr="007B1664">
              <w:rPr>
                <w:rFonts w:ascii="Times New Roman" w:hAnsi="Times New Roman"/>
                <w:bCs/>
              </w:rPr>
              <w:t>8.</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r w:rsidR="000B1B99" w:rsidRPr="007B1664" w14:paraId="4CE9045C" w14:textId="77777777">
        <w:tc>
          <w:tcPr>
            <w:tcW w:w="1129" w:type="dxa"/>
            <w:tcBorders>
              <w:top w:val="single" w:sz="4" w:space="0" w:color="auto"/>
              <w:bottom w:val="single" w:sz="4" w:space="0" w:color="auto"/>
            </w:tcBorders>
          </w:tcPr>
          <w:p w14:paraId="7ED4891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A9D4DD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diário de fundos de clientes detidos - Não segregados</w:t>
            </w:r>
          </w:p>
          <w:p w14:paraId="3FC01A6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pontos 28 e 49, do Regulamento (UE) 2019/2033</w:t>
            </w:r>
          </w:p>
          <w:p w14:paraId="47C0DCF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O valor comunicado deve ser a média mensal dos valores diários dos CMH quando os fundos dos clientes </w:t>
            </w:r>
            <w:r w:rsidRPr="007B1664">
              <w:rPr>
                <w:rFonts w:ascii="Times New Roman" w:hAnsi="Times New Roman"/>
                <w:bCs/>
                <w:u w:val="single"/>
              </w:rPr>
              <w:t>não são detidos</w:t>
            </w:r>
            <w:r w:rsidRPr="007B1664">
              <w:rPr>
                <w:rFonts w:ascii="Times New Roman" w:hAnsi="Times New Roman"/>
                <w:bCs/>
              </w:rPr>
              <w:t xml:space="preserve"> em contas segregadas, em conformidade com o artigo 18.</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bl>
    <w:p w14:paraId="22590C19" w14:textId="77777777" w:rsidR="000B1B99" w:rsidRPr="007B1664" w:rsidRDefault="000B1B99">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00E559B3" w14:textId="77777777">
        <w:tc>
          <w:tcPr>
            <w:tcW w:w="1129" w:type="dxa"/>
            <w:shd w:val="clear" w:color="auto" w:fill="D9D9D9"/>
          </w:tcPr>
          <w:p w14:paraId="4D31EA4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0EF5A5C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578AA950" w14:textId="77777777">
        <w:tc>
          <w:tcPr>
            <w:tcW w:w="1129" w:type="dxa"/>
          </w:tcPr>
          <w:p w14:paraId="79AEE76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0010-0080</w:t>
            </w:r>
          </w:p>
        </w:tc>
        <w:tc>
          <w:tcPr>
            <w:tcW w:w="7620" w:type="dxa"/>
          </w:tcPr>
          <w:p w14:paraId="45F0C0F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Médias mensais dos totais diários dos fundos de clientes detidos</w:t>
            </w:r>
          </w:p>
          <w:p w14:paraId="4027F26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As empresas de investimento devem comunicar mensalmente o valor médio mensal do total diário de fundos de clientes detidos mensurado no final de cada dia útil, em </w:t>
            </w:r>
            <w:r w:rsidRPr="007B1664">
              <w:rPr>
                <w:rFonts w:ascii="Times New Roman" w:hAnsi="Times New Roman"/>
                <w:bCs/>
              </w:rPr>
              <w:t>conformidade com o artigo 18.</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bl>
    <w:p w14:paraId="7D8E4ABC" w14:textId="77777777" w:rsidR="000B1B99" w:rsidRPr="007B1664" w:rsidRDefault="000B1B99">
      <w:pPr>
        <w:keepNext/>
        <w:spacing w:before="240" w:after="240" w:line="240" w:lineRule="auto"/>
        <w:jc w:val="both"/>
        <w:outlineLvl w:val="1"/>
        <w:rPr>
          <w:rFonts w:ascii="Times New Roman" w:eastAsia="Arial" w:hAnsi="Times New Roman" w:cs="Times New Roman"/>
          <w:u w:val="single"/>
        </w:rPr>
      </w:pPr>
    </w:p>
    <w:p w14:paraId="56D604FB"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247684"/>
      <w:r w:rsidRPr="007B1664">
        <w:rPr>
          <w:rFonts w:ascii="Times New Roman" w:hAnsi="Times New Roman"/>
          <w:sz w:val="24"/>
          <w:szCs w:val="24"/>
          <w:u w:val="single"/>
        </w:rPr>
        <w:t>3.6. I 06.05 – ATIVOS OBJETO DE GUARDA E ADMINISTRAÇÃO - INFORMAÇÕES ADICIONAIS (I 6.5)</w:t>
      </w:r>
      <w:bookmarkEnd w:id="64"/>
    </w:p>
    <w:p w14:paraId="6B8A0698" w14:textId="77777777" w:rsidR="000B1B99" w:rsidRPr="007B1664" w:rsidRDefault="007B1664">
      <w:pPr>
        <w:keepNext/>
        <w:spacing w:before="240" w:after="240" w:line="240" w:lineRule="auto"/>
        <w:ind w:left="357" w:hanging="357"/>
        <w:jc w:val="both"/>
        <w:outlineLvl w:val="1"/>
      </w:pPr>
      <w:bookmarkStart w:id="65" w:name="_Toc88247685"/>
      <w:r w:rsidRPr="007B1664">
        <w:rPr>
          <w:rFonts w:ascii="Times New Roman" w:hAnsi="Times New Roman"/>
          <w:sz w:val="24"/>
          <w:szCs w:val="24"/>
        </w:rPr>
        <w:t>3.6.1.</w:t>
      </w:r>
      <w:r w:rsidRPr="007B1664">
        <w:rPr>
          <w:rFonts w:ascii="Times New Roman" w:hAnsi="Times New Roman"/>
          <w:sz w:val="24"/>
          <w:szCs w:val="24"/>
        </w:rPr>
        <w:tab/>
      </w:r>
      <w:r w:rsidRPr="007B1664">
        <w:rPr>
          <w:rFonts w:ascii="Times New Roman" w:hAnsi="Times New Roman"/>
        </w:rPr>
        <w:t>Instruções relativas a posições específicas</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6B268D13" w14:textId="77777777">
        <w:tc>
          <w:tcPr>
            <w:tcW w:w="1129" w:type="dxa"/>
            <w:shd w:val="clear" w:color="auto" w:fill="D9D9D9"/>
          </w:tcPr>
          <w:p w14:paraId="292BE74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1453BA8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 xml:space="preserve">Referências jurídicas e </w:t>
            </w:r>
            <w:r w:rsidRPr="007B1664">
              <w:rPr>
                <w:rFonts w:ascii="Times New Roman" w:hAnsi="Times New Roman"/>
              </w:rPr>
              <w:t>instruções</w:t>
            </w:r>
          </w:p>
        </w:tc>
      </w:tr>
      <w:tr w:rsidR="000B1B99" w:rsidRPr="007B1664" w14:paraId="7079C6C5" w14:textId="77777777">
        <w:tc>
          <w:tcPr>
            <w:tcW w:w="1129" w:type="dxa"/>
          </w:tcPr>
          <w:p w14:paraId="40FF042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24FBF9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dos ativos objeto de guarda e administração (montantes médios)</w:t>
            </w:r>
          </w:p>
          <w:p w14:paraId="1876A34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29, do Regulamento (UE) 2019/2033.</w:t>
            </w:r>
          </w:p>
          <w:p w14:paraId="1A62D24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da NTR para especificar os métodos de cálculo dos fatores K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alínea a),</w:t>
            </w:r>
            <w:r w:rsidRPr="007B1664">
              <w:rPr>
                <w:rFonts w:ascii="Times New Roman" w:hAnsi="Times New Roman"/>
                <w:bCs/>
              </w:rPr>
              <w:t xml:space="preserve"> do Regulamento (UE) 2019/2033)</w:t>
            </w:r>
          </w:p>
          <w:p w14:paraId="5C2AC94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Valor total dos ASA como média móvel do total diário dos ativos objeto de guarda e administração, calculado no final de cada dia útil dos nove meses anteriores, excluindo os três meses mais recentes em conformidade com o art</w:t>
            </w:r>
            <w:r w:rsidRPr="007B1664">
              <w:rPr>
                <w:rFonts w:ascii="Times New Roman" w:hAnsi="Times New Roman"/>
                <w:bCs/>
              </w:rPr>
              <w: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primeiro parágrafo, do Regulamento (UE) 2019/2033. </w:t>
            </w:r>
          </w:p>
        </w:tc>
      </w:tr>
      <w:tr w:rsidR="000B1B99" w:rsidRPr="007B1664" w14:paraId="59067A3E" w14:textId="77777777">
        <w:tc>
          <w:tcPr>
            <w:tcW w:w="1129" w:type="dxa"/>
            <w:tcBorders>
              <w:bottom w:val="single" w:sz="4" w:space="0" w:color="auto"/>
            </w:tcBorders>
          </w:tcPr>
          <w:p w14:paraId="0ACB631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7A41B1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Sendo: Justo valor dos instrumentos financeiros (nível 2)</w:t>
            </w:r>
          </w:p>
          <w:p w14:paraId="2DAFA5E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a), da NTR para especificar os métodos de cálculo dos fatores K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5, alínea </w:t>
            </w:r>
            <w:r w:rsidRPr="007B1664">
              <w:rPr>
                <w:rFonts w:ascii="Times New Roman" w:hAnsi="Times New Roman"/>
                <w:bCs/>
              </w:rPr>
              <w:t>a), do Regulamento (UE) 2019/2033).</w:t>
            </w:r>
          </w:p>
          <w:p w14:paraId="467D893B" w14:textId="77777777" w:rsidR="000B1B99" w:rsidRPr="007B1664" w:rsidRDefault="007B1664">
            <w:pPr>
              <w:autoSpaceDE w:val="0"/>
              <w:autoSpaceDN w:val="0"/>
              <w:spacing w:after="0" w:line="240" w:lineRule="auto"/>
              <w:rPr>
                <w:rFonts w:ascii="Times New Roman" w:eastAsia="Times New Roman" w:hAnsi="Times New Roman" w:cs="Times New Roman"/>
                <w:bCs/>
                <w:i/>
              </w:rPr>
            </w:pPr>
            <w:r w:rsidRPr="007B1664">
              <w:rPr>
                <w:rFonts w:ascii="Times New Roman" w:hAnsi="Times New Roman"/>
                <w:bCs/>
              </w:rPr>
              <w:t>Instrumentos financeiros de nível 2 avaliados nos termos da IFRS 13.81.</w:t>
            </w:r>
          </w:p>
        </w:tc>
      </w:tr>
      <w:tr w:rsidR="000B1B99" w:rsidRPr="007B1664" w14:paraId="2DF595B9" w14:textId="77777777">
        <w:tc>
          <w:tcPr>
            <w:tcW w:w="1129" w:type="dxa"/>
            <w:tcBorders>
              <w:bottom w:val="single" w:sz="4" w:space="0" w:color="auto"/>
            </w:tcBorders>
          </w:tcPr>
          <w:p w14:paraId="688C863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07040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Justo valor dos instrumentos financeiros (nível 3)</w:t>
            </w:r>
          </w:p>
          <w:p w14:paraId="1232D5B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a), da NTR para especificar os métodos de cálculo dos </w:t>
            </w:r>
            <w:r w:rsidRPr="007B1664">
              <w:rPr>
                <w:rFonts w:ascii="Times New Roman" w:hAnsi="Times New Roman"/>
                <w:bCs/>
              </w:rPr>
              <w:t>fatores K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alínea a), do Regulamento (UE) 2019/2033).</w:t>
            </w:r>
          </w:p>
          <w:p w14:paraId="433D9E7A" w14:textId="77777777" w:rsidR="000B1B99" w:rsidRPr="007B1664" w:rsidRDefault="007B1664">
            <w:pPr>
              <w:autoSpaceDE w:val="0"/>
              <w:autoSpaceDN w:val="0"/>
              <w:spacing w:after="0" w:line="240" w:lineRule="auto"/>
            </w:pPr>
            <w:r w:rsidRPr="007B1664">
              <w:rPr>
                <w:rFonts w:ascii="Times New Roman" w:hAnsi="Times New Roman"/>
                <w:bCs/>
              </w:rPr>
              <w:t>Avaliação baseada em dados não observáveis utilizando as melhores informações disponíveis - IFR</w:t>
            </w:r>
            <w:r w:rsidRPr="007B1664">
              <w:rPr>
                <w:rFonts w:ascii="Times New Roman" w:hAnsi="Times New Roman"/>
              </w:rPr>
              <w:t>S 13.86.</w:t>
            </w:r>
          </w:p>
        </w:tc>
      </w:tr>
      <w:tr w:rsidR="000B1B99" w:rsidRPr="007B1664" w14:paraId="5ED46D07" w14:textId="77777777">
        <w:tc>
          <w:tcPr>
            <w:tcW w:w="1129" w:type="dxa"/>
            <w:tcBorders>
              <w:top w:val="single" w:sz="4" w:space="0" w:color="auto"/>
              <w:bottom w:val="single" w:sz="4" w:space="0" w:color="auto"/>
            </w:tcBorders>
          </w:tcPr>
          <w:p w14:paraId="417DA72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C82984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Sendo: ativos sob gestão formalmente delegada noutra entidade </w:t>
            </w:r>
            <w:r w:rsidRPr="007B1664">
              <w:rPr>
                <w:rFonts w:ascii="Times New Roman" w:hAnsi="Times New Roman"/>
                <w:b/>
                <w:bCs/>
                <w:u w:val="single"/>
              </w:rPr>
              <w:t>financeira</w:t>
            </w:r>
          </w:p>
          <w:p w14:paraId="0918A11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p w14:paraId="10E93CF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Valor dos ativos cuja guarda e administração foram formalmente delegadas noutra entidade financeira expresso em média aritmética, em conformidade com o artigo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w:t>
            </w:r>
            <w:r w:rsidRPr="007B1664">
              <w:rPr>
                <w:rFonts w:ascii="Times New Roman" w:hAnsi="Times New Roman"/>
                <w:bCs/>
              </w:rPr>
              <w:t xml:space="preserve"> Regulamento (UE) 2019/2033.</w:t>
            </w:r>
          </w:p>
        </w:tc>
      </w:tr>
      <w:tr w:rsidR="000B1B99" w:rsidRPr="007B1664" w14:paraId="253CFCC4" w14:textId="77777777">
        <w:tc>
          <w:tcPr>
            <w:tcW w:w="1129" w:type="dxa"/>
            <w:tcBorders>
              <w:top w:val="single" w:sz="4" w:space="0" w:color="auto"/>
            </w:tcBorders>
          </w:tcPr>
          <w:p w14:paraId="1667803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BAE42D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ativos de outra entidade financeira sob gestão formalmente delegada na empresa de investimento</w:t>
            </w:r>
          </w:p>
          <w:p w14:paraId="0747779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p w14:paraId="5BC4BAB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Valor dos ativos de outra entidade financeira que delegou </w:t>
            </w:r>
            <w:r w:rsidRPr="007B1664">
              <w:rPr>
                <w:rFonts w:ascii="Times New Roman" w:hAnsi="Times New Roman"/>
                <w:bCs/>
              </w:rPr>
              <w:t>formalmente a sua guarda e administração na empresa de investimento expresso em média aritmética, em conformidade com o artigo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w:t>
            </w:r>
          </w:p>
        </w:tc>
      </w:tr>
    </w:tbl>
    <w:p w14:paraId="2FB9BAB4" w14:textId="77777777" w:rsidR="000B1B99" w:rsidRPr="007B1664" w:rsidRDefault="000B1B9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0BAC70D7" w14:textId="77777777">
        <w:tc>
          <w:tcPr>
            <w:tcW w:w="1129" w:type="dxa"/>
            <w:shd w:val="clear" w:color="auto" w:fill="D9D9D9"/>
          </w:tcPr>
          <w:p w14:paraId="033C5A8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lastRenderedPageBreak/>
              <w:t>Colunas</w:t>
            </w:r>
          </w:p>
        </w:tc>
        <w:tc>
          <w:tcPr>
            <w:tcW w:w="7620" w:type="dxa"/>
            <w:shd w:val="clear" w:color="auto" w:fill="D9D9D9"/>
          </w:tcPr>
          <w:p w14:paraId="3D694C9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5E8F930A" w14:textId="77777777">
        <w:tc>
          <w:tcPr>
            <w:tcW w:w="1129" w:type="dxa"/>
          </w:tcPr>
          <w:p w14:paraId="717197C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2DD7DB6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Montante dos fatores - Mês t</w:t>
            </w:r>
          </w:p>
          <w:p w14:paraId="4D089D8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Ativos objeto de guarda e administração no final do terceiro mês (ou seja, o mês mais recente) do trimestre a que o relatório se refere.</w:t>
            </w:r>
          </w:p>
        </w:tc>
      </w:tr>
      <w:tr w:rsidR="000B1B99" w:rsidRPr="007B1664" w14:paraId="330BBB88" w14:textId="77777777">
        <w:tc>
          <w:tcPr>
            <w:tcW w:w="1129" w:type="dxa"/>
          </w:tcPr>
          <w:p w14:paraId="4508C86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Pr>
          <w:p w14:paraId="7CFD65E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Montante dos fatores - Mês t-1</w:t>
            </w:r>
          </w:p>
          <w:p w14:paraId="203BD94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Ativos objeto de guarda e administração no final do </w:t>
            </w:r>
            <w:r w:rsidRPr="007B1664">
              <w:rPr>
                <w:rFonts w:ascii="Times New Roman" w:hAnsi="Times New Roman"/>
                <w:bCs/>
              </w:rPr>
              <w:t>segundo mês do trimestre a que o relatório se refere.</w:t>
            </w:r>
          </w:p>
        </w:tc>
      </w:tr>
      <w:tr w:rsidR="000B1B99" w:rsidRPr="007B1664" w14:paraId="6FABBF8C" w14:textId="77777777">
        <w:tc>
          <w:tcPr>
            <w:tcW w:w="1129" w:type="dxa"/>
          </w:tcPr>
          <w:p w14:paraId="64262D7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27AB1F0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Montante dos fatores - Mês t-2</w:t>
            </w:r>
          </w:p>
          <w:p w14:paraId="6AD104A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Ativos objeto de guarda e administração no final do primeiro mês do trimestre a que o relatório se refere.</w:t>
            </w:r>
          </w:p>
        </w:tc>
      </w:tr>
    </w:tbl>
    <w:p w14:paraId="2AE05213"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47686"/>
      <w:r w:rsidRPr="007B1664">
        <w:rPr>
          <w:rFonts w:ascii="Times New Roman" w:hAnsi="Times New Roman"/>
          <w:sz w:val="24"/>
          <w:szCs w:val="24"/>
          <w:u w:val="single"/>
        </w:rPr>
        <w:t>3.7. I 06.06 – VALOR MÉDIO DOS TOTAIS DIÁRIOS DE ATIVOS O</w:t>
      </w:r>
      <w:r w:rsidRPr="007B1664">
        <w:rPr>
          <w:rFonts w:ascii="Times New Roman" w:hAnsi="Times New Roman"/>
          <w:sz w:val="24"/>
          <w:szCs w:val="24"/>
          <w:u w:val="single"/>
        </w:rPr>
        <w:t>BJETO DE GUARDA E ADMINISTRAÇÃO (I 6.6)</w:t>
      </w:r>
      <w:bookmarkEnd w:id="66"/>
    </w:p>
    <w:p w14:paraId="7AB97240"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47687"/>
      <w:r w:rsidRPr="007B1664">
        <w:rPr>
          <w:rFonts w:ascii="Times New Roman" w:hAnsi="Times New Roman"/>
          <w:sz w:val="24"/>
          <w:szCs w:val="24"/>
        </w:rPr>
        <w:t>3.7.1.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1024FEAB" w14:textId="77777777">
        <w:tc>
          <w:tcPr>
            <w:tcW w:w="1129" w:type="dxa"/>
            <w:shd w:val="clear" w:color="auto" w:fill="D9D9D9"/>
          </w:tcPr>
          <w:p w14:paraId="3760E8C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1BCFDB8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6F5694CF" w14:textId="77777777">
        <w:tc>
          <w:tcPr>
            <w:tcW w:w="1129" w:type="dxa"/>
          </w:tcPr>
          <w:p w14:paraId="764AA3E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880026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objeto de guarda e administração</w:t>
            </w:r>
          </w:p>
          <w:p w14:paraId="51E92FE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29, do Regulamento (UE) 2019/2033.</w:t>
            </w:r>
          </w:p>
          <w:p w14:paraId="79DFFF9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da NTR para especificar os métodos de cálculo dos fatores K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alínea a), do Regulamento (UE) 2019/2033)</w:t>
            </w:r>
          </w:p>
          <w:p w14:paraId="215C5C8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valor comunicado deve ser a média mensal do total diário dos ativos objeto de guarda e administração, nos termos do artigo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r w:rsidR="000B1B99" w:rsidRPr="007B1664" w14:paraId="2CF4C359" w14:textId="77777777">
        <w:tc>
          <w:tcPr>
            <w:tcW w:w="1129" w:type="dxa"/>
            <w:tcBorders>
              <w:bottom w:val="single" w:sz="4" w:space="0" w:color="auto"/>
            </w:tcBorders>
          </w:tcPr>
          <w:p w14:paraId="6797CD5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AE9F3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Justo valor dos instrumentos financeiros (nível 2)</w:t>
            </w:r>
          </w:p>
          <w:p w14:paraId="571FA5F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da NTR para especificar os métodos de cálculo dos fatores K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5, alínea a), do Regulamento (UE) </w:t>
            </w:r>
            <w:r w:rsidRPr="007B1664">
              <w:rPr>
                <w:rFonts w:ascii="Times New Roman" w:hAnsi="Times New Roman"/>
                <w:bCs/>
              </w:rPr>
              <w:t>2019/2033).</w:t>
            </w:r>
          </w:p>
          <w:p w14:paraId="742E3D5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Instrumentos financeiros de nível 2 avaliados nos termos da IFRS 13.81.</w:t>
            </w:r>
          </w:p>
        </w:tc>
      </w:tr>
      <w:tr w:rsidR="000B1B99" w:rsidRPr="007B1664" w14:paraId="72FF292A" w14:textId="77777777">
        <w:tc>
          <w:tcPr>
            <w:tcW w:w="1129" w:type="dxa"/>
            <w:tcBorders>
              <w:bottom w:val="single" w:sz="4" w:space="0" w:color="auto"/>
            </w:tcBorders>
          </w:tcPr>
          <w:p w14:paraId="44F6E76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182B7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Justo valor dos instrumentos financeiros (nível 3)</w:t>
            </w:r>
          </w:p>
          <w:p w14:paraId="6D4948C7" w14:textId="77777777" w:rsidR="000B1B99" w:rsidRPr="007B1664" w:rsidRDefault="007B1664">
            <w:pPr>
              <w:spacing w:after="120" w:line="240" w:lineRule="auto"/>
              <w:jc w:val="both"/>
              <w:rPr>
                <w:rFonts w:ascii="Times New Roman" w:eastAsia="Times New Roman" w:hAnsi="Times New Roman" w:cs="Times New Roman"/>
                <w:bCs/>
                <w:i/>
              </w:rPr>
            </w:pPr>
            <w:r w:rsidRPr="007B1664">
              <w:rPr>
                <w:rFonts w:ascii="Times New Roman" w:hAnsi="Times New Roman"/>
                <w:bCs/>
              </w:rPr>
              <w:t>Artigo 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a), da NTR para especificar os métodos de cálculo dos fatores K (artigo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alínea a), do Regulamento (UE) 2019/2033).</w:t>
            </w:r>
          </w:p>
          <w:p w14:paraId="2F79E97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Avaliação baseada em dados não observáveis utilizando as melhores informações disponíveis - IFR</w:t>
            </w:r>
            <w:r w:rsidRPr="007B1664">
              <w:rPr>
                <w:rFonts w:ascii="Times New Roman" w:hAnsi="Times New Roman"/>
              </w:rPr>
              <w:t>S 13.86.</w:t>
            </w:r>
          </w:p>
        </w:tc>
      </w:tr>
      <w:tr w:rsidR="000B1B99" w:rsidRPr="007B1664" w14:paraId="2570EBFE" w14:textId="77777777">
        <w:tc>
          <w:tcPr>
            <w:tcW w:w="1129" w:type="dxa"/>
            <w:tcBorders>
              <w:top w:val="single" w:sz="4" w:space="0" w:color="auto"/>
              <w:bottom w:val="single" w:sz="4" w:space="0" w:color="auto"/>
            </w:tcBorders>
          </w:tcPr>
          <w:p w14:paraId="41DB186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D443A3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ativos sob gestão formalmente delegada noutra entidade financeira</w:t>
            </w:r>
          </w:p>
          <w:p w14:paraId="0D79B05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w:t>
            </w:r>
            <w:r w:rsidRPr="007B1664">
              <w:rPr>
                <w:rFonts w:ascii="Times New Roman" w:hAnsi="Times New Roman"/>
                <w:bCs/>
              </w:rPr>
              <w:t>ulamento (UE) 2019/2033.</w:t>
            </w:r>
          </w:p>
          <w:p w14:paraId="106FA09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O valor comunicado deve ser a média mensal do total diário dos ativos cuja guarda e administração foram formalmente delegadas noutra entidade financeira, em conformidade com o artigo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r w:rsidR="000B1B99" w:rsidRPr="007B1664" w14:paraId="45284910" w14:textId="77777777">
        <w:tc>
          <w:tcPr>
            <w:tcW w:w="1129" w:type="dxa"/>
            <w:tcBorders>
              <w:top w:val="single" w:sz="4" w:space="0" w:color="auto"/>
            </w:tcBorders>
          </w:tcPr>
          <w:p w14:paraId="781A440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2B0380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ativos de outra entidade financeira sob gestão formalmente delegada na empresa de investimento</w:t>
            </w:r>
          </w:p>
          <w:p w14:paraId="5D613D3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p w14:paraId="7676C31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O valor comunicado deve ser a média mensal do total diário dos ativos de outra entidade financeira</w:t>
            </w:r>
            <w:r w:rsidRPr="007B1664">
              <w:rPr>
                <w:rFonts w:ascii="Times New Roman" w:hAnsi="Times New Roman"/>
                <w:bCs/>
              </w:rPr>
              <w:t xml:space="preserve"> que delegou formalmente a sua guarda e administração na </w:t>
            </w:r>
            <w:r w:rsidRPr="007B1664">
              <w:rPr>
                <w:rFonts w:ascii="Times New Roman" w:hAnsi="Times New Roman"/>
                <w:bCs/>
              </w:rPr>
              <w:lastRenderedPageBreak/>
              <w:t>empresa de investimento, em conformidade com o artigo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bl>
    <w:p w14:paraId="3587CBB2" w14:textId="77777777" w:rsidR="000B1B99" w:rsidRPr="007B1664" w:rsidRDefault="000B1B9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1320FDED" w14:textId="77777777">
        <w:tc>
          <w:tcPr>
            <w:tcW w:w="1129" w:type="dxa"/>
            <w:shd w:val="clear" w:color="auto" w:fill="D9D9D9"/>
          </w:tcPr>
          <w:p w14:paraId="359E402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131120B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460456E0" w14:textId="77777777">
        <w:tc>
          <w:tcPr>
            <w:tcW w:w="1129" w:type="dxa"/>
          </w:tcPr>
          <w:p w14:paraId="73BA20B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0010-0080</w:t>
            </w:r>
          </w:p>
        </w:tc>
        <w:tc>
          <w:tcPr>
            <w:tcW w:w="7620" w:type="dxa"/>
          </w:tcPr>
          <w:p w14:paraId="468638D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 xml:space="preserve">Médias mensais dos totais diários dos </w:t>
            </w:r>
            <w:r w:rsidRPr="007B1664">
              <w:rPr>
                <w:rFonts w:ascii="Times New Roman" w:hAnsi="Times New Roman"/>
                <w:b/>
                <w:bCs/>
                <w:u w:val="single"/>
              </w:rPr>
              <w:t>ativos objeto de guarda e administração</w:t>
            </w:r>
          </w:p>
          <w:p w14:paraId="263E7B1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As empresas de investimento devem comunicar mensalmente o valor médio dos totais diários de ativos objeto de guarda e administração calculado no final de cada dia útil, em conformidade com o artigo 19.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do </w:t>
            </w:r>
            <w:r w:rsidRPr="007B1664">
              <w:rPr>
                <w:rFonts w:ascii="Times New Roman" w:hAnsi="Times New Roman"/>
                <w:bCs/>
              </w:rPr>
              <w:t>Regulamento (UE) 2019/2033.</w:t>
            </w:r>
          </w:p>
        </w:tc>
      </w:tr>
    </w:tbl>
    <w:p w14:paraId="2F85BA73"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247688"/>
      <w:r w:rsidRPr="007B1664">
        <w:rPr>
          <w:rFonts w:ascii="Times New Roman" w:hAnsi="Times New Roman"/>
          <w:sz w:val="24"/>
          <w:szCs w:val="24"/>
          <w:u w:val="single"/>
        </w:rPr>
        <w:t>3.8. I 06.07 – ORDENS DE CLIENTES TRATADAS - INFORMAÇÕES ADICIONAIS (I 6.7)</w:t>
      </w:r>
      <w:bookmarkEnd w:id="68"/>
    </w:p>
    <w:p w14:paraId="384E96E8" w14:textId="77777777" w:rsidR="000B1B99" w:rsidRPr="007B1664" w:rsidRDefault="007B1664">
      <w:pPr>
        <w:keepNext/>
        <w:spacing w:before="240" w:after="240" w:line="240" w:lineRule="auto"/>
        <w:ind w:left="357" w:hanging="215"/>
        <w:jc w:val="both"/>
        <w:outlineLvl w:val="1"/>
      </w:pPr>
      <w:bookmarkStart w:id="69" w:name="_Toc88247689"/>
      <w:r w:rsidRPr="007B1664">
        <w:rPr>
          <w:rFonts w:ascii="Times New Roman" w:hAnsi="Times New Roman"/>
          <w:sz w:val="24"/>
          <w:szCs w:val="24"/>
        </w:rPr>
        <w:t>3.8.1.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126A1479" w14:textId="77777777">
        <w:tc>
          <w:tcPr>
            <w:tcW w:w="1129" w:type="dxa"/>
            <w:shd w:val="clear" w:color="auto" w:fill="D9D9D9"/>
          </w:tcPr>
          <w:p w14:paraId="3A0026E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32E1905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63F151E0" w14:textId="77777777">
        <w:tc>
          <w:tcPr>
            <w:tcW w:w="1129" w:type="dxa"/>
          </w:tcPr>
          <w:p w14:paraId="0AA01D6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B94E22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Ordens de clientes tratadas - Transações em </w:t>
            </w:r>
            <w:r w:rsidRPr="007B1664">
              <w:rPr>
                <w:rFonts w:ascii="Times New Roman" w:hAnsi="Times New Roman"/>
                <w:b/>
                <w:bCs/>
                <w:u w:val="single"/>
              </w:rPr>
              <w:t>numerário (montantes médios)</w:t>
            </w:r>
          </w:p>
          <w:p w14:paraId="59B4643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Valor das COH - transações em numerário na aceção do 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30, do Regulamento (UE) 2019/2033 e calculado nos termos do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p w14:paraId="78760D8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As empresas de investimento devem comu</w:t>
            </w:r>
            <w:r w:rsidRPr="007B1664">
              <w:rPr>
                <w:rFonts w:ascii="Times New Roman" w:hAnsi="Times New Roman"/>
                <w:bCs/>
              </w:rPr>
              <w:t>nicar a média aritmética das COH - transações em numerário dos seis meses anteriores, excluindo os três meses mais recentes, de acordo com 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 devendo ser calculada nos termos do artigo 2</w:t>
            </w:r>
            <w:r w:rsidRPr="007B1664">
              <w:rPr>
                <w:rFonts w:ascii="Times New Roman" w:hAnsi="Times New Roman"/>
                <w:bCs/>
              </w:rPr>
              <w:t>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a), do Regulamento (UE) 2019/2033.</w:t>
            </w:r>
          </w:p>
        </w:tc>
      </w:tr>
      <w:tr w:rsidR="000B1B99" w:rsidRPr="007B1664" w14:paraId="3BEDDCF1" w14:textId="77777777">
        <w:tc>
          <w:tcPr>
            <w:tcW w:w="1129" w:type="dxa"/>
          </w:tcPr>
          <w:p w14:paraId="3BDEDEC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167C4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Execução de ordens de clientes</w:t>
            </w:r>
          </w:p>
          <w:p w14:paraId="29AA517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As COH - transações em numerário em relação às quais a empresa de investimento presta o serviço de execução de ordens em nome de clientes, definido no artigo </w:t>
            </w:r>
            <w:r w:rsidRPr="007B1664">
              <w:rPr>
                <w:rFonts w:ascii="Times New Roman" w:hAnsi="Times New Roman"/>
                <w:bCs/>
              </w:rPr>
              <w:t>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5, da Diretiva 2014/65/UE.</w:t>
            </w:r>
          </w:p>
          <w:p w14:paraId="0602FE9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Deve ser comunicada a média aritmética do valor das ordens de clientes tratadas nos seis meses anteriores, excluindo os três meses mais recentes, em conformidade com 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primeiro parágrafo, do </w:t>
            </w:r>
            <w:r w:rsidRPr="007B1664">
              <w:rPr>
                <w:rFonts w:ascii="Times New Roman" w:hAnsi="Times New Roman"/>
                <w:bCs/>
              </w:rPr>
              <w:t>Regulamento (UE) 2019/2033.</w:t>
            </w:r>
          </w:p>
        </w:tc>
      </w:tr>
      <w:tr w:rsidR="000B1B99" w:rsidRPr="007B1664" w14:paraId="3B8E9986" w14:textId="77777777">
        <w:tc>
          <w:tcPr>
            <w:tcW w:w="1129" w:type="dxa"/>
          </w:tcPr>
          <w:p w14:paraId="2F41ED9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44336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Receção e transmissão de ordens de clientes</w:t>
            </w:r>
          </w:p>
          <w:p w14:paraId="46752B8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As COH - transações em numerário em relação às quais a empresa de investimento presta o serviço de receção e transmissão de ordens de clientes.</w:t>
            </w:r>
          </w:p>
          <w:p w14:paraId="18136822"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t xml:space="preserve">Deve ser </w:t>
            </w:r>
            <w:r w:rsidRPr="007B1664">
              <w:rPr>
                <w:rFonts w:ascii="Times New Roman" w:hAnsi="Times New Roman"/>
                <w:bCs/>
              </w:rPr>
              <w:t>comunicada a média aritmética do valor das ordens de clientes tratadas nos seis meses anteriores, excluindo os três meses mais recentes, em conformidade com 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w:t>
            </w:r>
          </w:p>
        </w:tc>
      </w:tr>
      <w:tr w:rsidR="000B1B99" w:rsidRPr="007B1664" w14:paraId="015E5D2A" w14:textId="77777777">
        <w:tc>
          <w:tcPr>
            <w:tcW w:w="1129" w:type="dxa"/>
          </w:tcPr>
          <w:p w14:paraId="68A473D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FD920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Ordens de clientes t</w:t>
            </w:r>
            <w:r w:rsidRPr="007B1664">
              <w:rPr>
                <w:rFonts w:ascii="Times New Roman" w:hAnsi="Times New Roman"/>
                <w:b/>
                <w:bCs/>
                <w:u w:val="single"/>
              </w:rPr>
              <w:t>ratadas - Derivados (montantes médios)</w:t>
            </w:r>
          </w:p>
          <w:p w14:paraId="25D78E2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30, do Regulamento (UE) 2019/2033.</w:t>
            </w:r>
          </w:p>
          <w:p w14:paraId="59753AD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As empresas de investimento devem comunicar a média aritmética das COH - derivados dos seis meses anteriores, excluindo os três meses mais recentes, de acord</w:t>
            </w:r>
            <w:r w:rsidRPr="007B1664">
              <w:rPr>
                <w:rFonts w:ascii="Times New Roman" w:hAnsi="Times New Roman"/>
                <w:bCs/>
              </w:rPr>
              <w:t>o com 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 devendo ser calculada nos termos do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b), do Regulamento (UE) 2019/2033.</w:t>
            </w:r>
          </w:p>
        </w:tc>
      </w:tr>
      <w:tr w:rsidR="000B1B99" w:rsidRPr="007B1664" w14:paraId="34C8838F" w14:textId="77777777">
        <w:tc>
          <w:tcPr>
            <w:tcW w:w="1129" w:type="dxa"/>
          </w:tcPr>
          <w:p w14:paraId="1C28C3B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2E80FF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Execução de ordens de clientes</w:t>
            </w:r>
          </w:p>
          <w:p w14:paraId="7BB8E0E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As COH - transações em derivados em</w:t>
            </w:r>
            <w:r w:rsidRPr="007B1664">
              <w:rPr>
                <w:rFonts w:ascii="Times New Roman" w:hAnsi="Times New Roman"/>
                <w:bCs/>
              </w:rPr>
              <w:t xml:space="preserve"> relação às quais a empresa de investimento presta o serviço de execução de ordens em nome de clientes, definido no 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5, da Diretiva 2014/65/UE.</w:t>
            </w:r>
          </w:p>
          <w:p w14:paraId="7E985381"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t>Deve ser comunicada a média aritmética do valor das ordens de clientes tratadas nos seis</w:t>
            </w:r>
            <w:r w:rsidRPr="007B1664">
              <w:rPr>
                <w:rFonts w:ascii="Times New Roman" w:hAnsi="Times New Roman"/>
                <w:bCs/>
              </w:rPr>
              <w:t xml:space="preserve"> meses anteriores, excluindo os três meses mais recentes, em conformidade com 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w:t>
            </w:r>
          </w:p>
        </w:tc>
      </w:tr>
      <w:tr w:rsidR="000B1B99" w:rsidRPr="007B1664" w14:paraId="693446C1" w14:textId="77777777">
        <w:tc>
          <w:tcPr>
            <w:tcW w:w="1129" w:type="dxa"/>
          </w:tcPr>
          <w:p w14:paraId="0B6BDCF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09C02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Receção e transmissão de ordens de clientes</w:t>
            </w:r>
          </w:p>
          <w:p w14:paraId="451DAE1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As COH - transações em derivados em </w:t>
            </w:r>
            <w:r w:rsidRPr="007B1664">
              <w:rPr>
                <w:rFonts w:ascii="Times New Roman" w:hAnsi="Times New Roman"/>
                <w:bCs/>
              </w:rPr>
              <w:t>relação às quais a empresa de investimento presta o serviço de receção e transmissão de ordens de clientes.</w:t>
            </w:r>
          </w:p>
          <w:p w14:paraId="1EACE0AE"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t>Deve ser comunicada a média aritmética do valor das ordens de clientes tratadas nos seis meses anteriores, excluindo os três meses mais recentes, em</w:t>
            </w:r>
            <w:r w:rsidRPr="007B1664">
              <w:rPr>
                <w:rFonts w:ascii="Times New Roman" w:hAnsi="Times New Roman"/>
                <w:bCs/>
              </w:rPr>
              <w:t xml:space="preserve"> conformidade com 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w:t>
            </w:r>
          </w:p>
        </w:tc>
      </w:tr>
    </w:tbl>
    <w:p w14:paraId="158B4843" w14:textId="77777777" w:rsidR="000B1B99" w:rsidRPr="007B1664" w:rsidRDefault="000B1B9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4260C651" w14:textId="77777777">
        <w:tc>
          <w:tcPr>
            <w:tcW w:w="1129" w:type="dxa"/>
            <w:shd w:val="clear" w:color="auto" w:fill="D9D9D9"/>
          </w:tcPr>
          <w:p w14:paraId="1B5FE645"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4"/>
              </w:rPr>
              <w:t>Colunas</w:t>
            </w:r>
          </w:p>
        </w:tc>
        <w:tc>
          <w:tcPr>
            <w:tcW w:w="7620" w:type="dxa"/>
            <w:shd w:val="clear" w:color="auto" w:fill="D9D9D9"/>
          </w:tcPr>
          <w:p w14:paraId="491193D2"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4"/>
              </w:rPr>
              <w:t>Referências jurídicas e instruções</w:t>
            </w:r>
          </w:p>
        </w:tc>
      </w:tr>
      <w:tr w:rsidR="000B1B99" w:rsidRPr="007B1664" w14:paraId="16FBCA96" w14:textId="77777777">
        <w:tc>
          <w:tcPr>
            <w:tcW w:w="1129" w:type="dxa"/>
          </w:tcPr>
          <w:p w14:paraId="15A4E1E7"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0010</w:t>
            </w:r>
          </w:p>
        </w:tc>
        <w:tc>
          <w:tcPr>
            <w:tcW w:w="7620" w:type="dxa"/>
          </w:tcPr>
          <w:p w14:paraId="717B118A"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Montante dos fatores - Mês t</w:t>
            </w:r>
          </w:p>
          <w:p w14:paraId="195CC4EF"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 xml:space="preserve">Valor das ordens de clientes tratadas no final do terceiro mês (ou seja, o mais recente) do trimestre a que o relatório se refere. </w:t>
            </w:r>
          </w:p>
        </w:tc>
      </w:tr>
      <w:tr w:rsidR="000B1B99" w:rsidRPr="007B1664" w14:paraId="646A0698" w14:textId="77777777">
        <w:trPr>
          <w:trHeight w:val="1051"/>
        </w:trPr>
        <w:tc>
          <w:tcPr>
            <w:tcW w:w="1129" w:type="dxa"/>
          </w:tcPr>
          <w:p w14:paraId="54979417"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0020</w:t>
            </w:r>
          </w:p>
        </w:tc>
        <w:tc>
          <w:tcPr>
            <w:tcW w:w="7620" w:type="dxa"/>
          </w:tcPr>
          <w:p w14:paraId="561907A7"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Montante dos fatores - Mês t-1</w:t>
            </w:r>
          </w:p>
          <w:p w14:paraId="19476E95"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Cs/>
                <w:szCs w:val="24"/>
              </w:rPr>
              <w:t>Valor das ordens de clientes tratadas no final do segundo mês do trimestre a que o rela</w:t>
            </w:r>
            <w:r w:rsidRPr="007B1664">
              <w:rPr>
                <w:rFonts w:ascii="Times New Roman" w:hAnsi="Times New Roman"/>
                <w:bCs/>
                <w:szCs w:val="24"/>
              </w:rPr>
              <w:t>tório se refere.</w:t>
            </w:r>
          </w:p>
        </w:tc>
      </w:tr>
      <w:tr w:rsidR="000B1B99" w:rsidRPr="007B1664" w14:paraId="642AAB85" w14:textId="77777777">
        <w:tc>
          <w:tcPr>
            <w:tcW w:w="1129" w:type="dxa"/>
          </w:tcPr>
          <w:p w14:paraId="528BE576"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0030</w:t>
            </w:r>
          </w:p>
        </w:tc>
        <w:tc>
          <w:tcPr>
            <w:tcW w:w="7620" w:type="dxa"/>
          </w:tcPr>
          <w:p w14:paraId="5BEEBD74"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Montante dos fatores - Mês t-2</w:t>
            </w:r>
          </w:p>
          <w:p w14:paraId="70E6DFF5"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Cs/>
                <w:szCs w:val="24"/>
              </w:rPr>
              <w:t>Valor das ordens de clientes tratadas no final do primeiro mês do trimestre a que o relatório se refere.</w:t>
            </w:r>
          </w:p>
        </w:tc>
      </w:tr>
    </w:tbl>
    <w:p w14:paraId="5402EE59"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47690"/>
      <w:r w:rsidRPr="007B1664">
        <w:rPr>
          <w:rFonts w:ascii="Times New Roman" w:hAnsi="Times New Roman"/>
          <w:sz w:val="24"/>
          <w:szCs w:val="24"/>
          <w:u w:val="single"/>
        </w:rPr>
        <w:t>3.9. I 06.08 – VALOR MÉDIO DOS TOTAIS DIÁRIOS DAS ORDENS DE CLIENTES TRATADAS (I 6.8)</w:t>
      </w:r>
      <w:bookmarkEnd w:id="70"/>
    </w:p>
    <w:p w14:paraId="0F7EAECB"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47691"/>
      <w:r w:rsidRPr="007B1664">
        <w:rPr>
          <w:rFonts w:ascii="Times New Roman" w:hAnsi="Times New Roman"/>
          <w:sz w:val="24"/>
          <w:szCs w:val="24"/>
        </w:rPr>
        <w:t>3.9.1.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1704E1C8" w14:textId="77777777">
        <w:tc>
          <w:tcPr>
            <w:tcW w:w="1129" w:type="dxa"/>
            <w:shd w:val="clear" w:color="auto" w:fill="D9D9D9"/>
          </w:tcPr>
          <w:p w14:paraId="0A0448C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616912D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13EDA0D9" w14:textId="77777777">
        <w:tc>
          <w:tcPr>
            <w:tcW w:w="1129" w:type="dxa"/>
          </w:tcPr>
          <w:p w14:paraId="31566C0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B7C29F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diário de ordens de clientes tratadas - Transações em numerário</w:t>
            </w:r>
          </w:p>
          <w:p w14:paraId="4563544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30, do Regulamento (UE) 2019/2033.</w:t>
            </w:r>
          </w:p>
          <w:p w14:paraId="0EA6112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O valor médio do total </w:t>
            </w:r>
            <w:r w:rsidRPr="007B1664">
              <w:rPr>
                <w:rFonts w:ascii="Times New Roman" w:hAnsi="Times New Roman"/>
                <w:bCs/>
              </w:rPr>
              <w:t>diário das ordens de clientes tratadas (transações em numerário) do mês em causa, como referido no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 devendo ser calculado nos termos do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2, alínea a), do Regulamento (UE) </w:t>
            </w:r>
            <w:r w:rsidRPr="007B1664">
              <w:rPr>
                <w:rFonts w:ascii="Times New Roman" w:hAnsi="Times New Roman"/>
                <w:bCs/>
              </w:rPr>
              <w:t>2019/2033.</w:t>
            </w:r>
          </w:p>
        </w:tc>
      </w:tr>
      <w:tr w:rsidR="000B1B99" w:rsidRPr="007B1664" w14:paraId="3F1094EC" w14:textId="77777777">
        <w:tc>
          <w:tcPr>
            <w:tcW w:w="1129" w:type="dxa"/>
          </w:tcPr>
          <w:p w14:paraId="1E4072D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82329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Execução de ordens de clientes</w:t>
            </w:r>
          </w:p>
          <w:p w14:paraId="02DBA33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O valor médio do total diário das ordens de clientes tratadas - transações em numerário em relação às quais a empresa de investimento presta o serviço de execução de ordens em nome de </w:t>
            </w:r>
            <w:r w:rsidRPr="007B1664">
              <w:rPr>
                <w:rFonts w:ascii="Times New Roman" w:hAnsi="Times New Roman"/>
                <w:bCs/>
              </w:rPr>
              <w:t>clientes, definido no 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5, da Diretiva 2014/65/UE.</w:t>
            </w:r>
          </w:p>
        </w:tc>
      </w:tr>
      <w:tr w:rsidR="000B1B99" w:rsidRPr="007B1664" w14:paraId="0918C7F9" w14:textId="77777777">
        <w:tc>
          <w:tcPr>
            <w:tcW w:w="1129" w:type="dxa"/>
          </w:tcPr>
          <w:p w14:paraId="7A2E00D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E2560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Receção e transmissão de ordens de clientes</w:t>
            </w:r>
          </w:p>
          <w:p w14:paraId="730B0702"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lastRenderedPageBreak/>
              <w:t>O valor médio do total diário das ordens de clientes tratadas - transações em numerário em relação às quais a empresa de inve</w:t>
            </w:r>
            <w:r w:rsidRPr="007B1664">
              <w:rPr>
                <w:rFonts w:ascii="Times New Roman" w:hAnsi="Times New Roman"/>
                <w:bCs/>
              </w:rPr>
              <w:t>stimento presta o serviço de receção e transmissão de ordens de clientes.</w:t>
            </w:r>
          </w:p>
        </w:tc>
      </w:tr>
      <w:tr w:rsidR="000B1B99" w:rsidRPr="007B1664" w14:paraId="09DEA803" w14:textId="77777777">
        <w:tc>
          <w:tcPr>
            <w:tcW w:w="1129" w:type="dxa"/>
          </w:tcPr>
          <w:p w14:paraId="16BC52D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C271C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diário de ordens de clientes tratadas - Derivados</w:t>
            </w:r>
          </w:p>
          <w:p w14:paraId="2B937BD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30, do Regulamento (UE) 2019/2033.</w:t>
            </w:r>
          </w:p>
          <w:p w14:paraId="5402C8D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O valor médio do total diário das ordens de clientes tratada</w:t>
            </w:r>
            <w:r w:rsidRPr="007B1664">
              <w:rPr>
                <w:rFonts w:ascii="Times New Roman" w:hAnsi="Times New Roman"/>
                <w:bCs/>
              </w:rPr>
              <w:t>s (derivados) do mês em causa, como referido no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 devendo ser calculado nos termos do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b), do Regulamento (UE) 2019/2033.</w:t>
            </w:r>
          </w:p>
        </w:tc>
      </w:tr>
      <w:tr w:rsidR="000B1B99" w:rsidRPr="007B1664" w14:paraId="7207BE38" w14:textId="77777777">
        <w:tc>
          <w:tcPr>
            <w:tcW w:w="1129" w:type="dxa"/>
          </w:tcPr>
          <w:p w14:paraId="3DE0236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BAF59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Execução de ordens de clientes</w:t>
            </w:r>
          </w:p>
          <w:p w14:paraId="516D8803"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t>O valor médio d</w:t>
            </w:r>
            <w:r w:rsidRPr="007B1664">
              <w:rPr>
                <w:rFonts w:ascii="Times New Roman" w:hAnsi="Times New Roman"/>
                <w:bCs/>
              </w:rPr>
              <w:t>o total diários das ordens de clientes tratadas - transações em derivados em relação às quais a empresa de investimento presta o serviço de execução de ordens em nome de clientes, definido no 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ponto 5, da Diretiva 2014/65/UE.</w:t>
            </w:r>
          </w:p>
        </w:tc>
      </w:tr>
      <w:tr w:rsidR="000B1B99" w:rsidRPr="007B1664" w14:paraId="499FEC8A" w14:textId="77777777">
        <w:tc>
          <w:tcPr>
            <w:tcW w:w="1129" w:type="dxa"/>
          </w:tcPr>
          <w:p w14:paraId="2E19501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229C5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Receção e transmissão de ordens de clientes</w:t>
            </w:r>
          </w:p>
          <w:p w14:paraId="76D44D21"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t>O valor médio do total diário das ordens de clientes tratadas - transações em derivados em relação às quais a empresa de investimento presta o serviço de receção e transmissão de ordens de clientes.</w:t>
            </w:r>
          </w:p>
        </w:tc>
      </w:tr>
    </w:tbl>
    <w:p w14:paraId="17424639" w14:textId="77777777" w:rsidR="000B1B99" w:rsidRPr="007B1664" w:rsidRDefault="000B1B99">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24BF7D8C" w14:textId="77777777">
        <w:tc>
          <w:tcPr>
            <w:tcW w:w="1129" w:type="dxa"/>
            <w:shd w:val="clear" w:color="auto" w:fill="D9D9D9"/>
          </w:tcPr>
          <w:p w14:paraId="648CB53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0512291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5EAFDB99" w14:textId="77777777">
        <w:tc>
          <w:tcPr>
            <w:tcW w:w="1129" w:type="dxa"/>
          </w:tcPr>
          <w:p w14:paraId="6140390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0010-0050</w:t>
            </w:r>
          </w:p>
        </w:tc>
        <w:tc>
          <w:tcPr>
            <w:tcW w:w="7620" w:type="dxa"/>
          </w:tcPr>
          <w:p w14:paraId="77D995B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Médias mensais dos valores diários totais das ordens de clientes tratadas</w:t>
            </w:r>
          </w:p>
          <w:p w14:paraId="7151803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As empresas de investimento devem comunicar mensalmente o valor médio mensal do total diário das ordens de clientes </w:t>
            </w:r>
            <w:r w:rsidRPr="007B1664">
              <w:rPr>
                <w:rFonts w:ascii="Times New Roman" w:hAnsi="Times New Roman"/>
                <w:bCs/>
              </w:rPr>
              <w:t>tratadas nos termos do artigo 20.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w:t>
            </w:r>
          </w:p>
        </w:tc>
      </w:tr>
    </w:tbl>
    <w:p w14:paraId="1B8869E8"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247692"/>
      <w:r w:rsidRPr="007B1664">
        <w:rPr>
          <w:rFonts w:ascii="Times New Roman" w:hAnsi="Times New Roman"/>
          <w:sz w:val="24"/>
          <w:szCs w:val="24"/>
          <w:u w:val="single"/>
        </w:rPr>
        <w:t>3.10. I 06.09 – K - RISCO DE POSIÇÃO LÍQUIDA - INFORMAÇÕES ADICIONAIS (I 6.9)</w:t>
      </w:r>
      <w:bookmarkEnd w:id="72"/>
    </w:p>
    <w:p w14:paraId="5B539D48" w14:textId="77777777" w:rsidR="000B1B99" w:rsidRPr="007B1664" w:rsidRDefault="007B1664">
      <w:pPr>
        <w:keepNext/>
        <w:tabs>
          <w:tab w:val="left" w:pos="1134"/>
        </w:tabs>
        <w:spacing w:before="240" w:after="240" w:line="240" w:lineRule="auto"/>
        <w:ind w:left="357" w:hanging="215"/>
        <w:jc w:val="both"/>
        <w:outlineLvl w:val="1"/>
      </w:pPr>
      <w:bookmarkStart w:id="73" w:name="_Toc88247693"/>
      <w:r w:rsidRPr="007B1664">
        <w:rPr>
          <w:rFonts w:ascii="Times New Roman" w:hAnsi="Times New Roman"/>
          <w:sz w:val="24"/>
          <w:szCs w:val="24"/>
        </w:rPr>
        <w:t>3.10.1.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54430CCF" w14:textId="77777777">
        <w:tc>
          <w:tcPr>
            <w:tcW w:w="1129" w:type="dxa"/>
            <w:shd w:val="clear" w:color="auto" w:fill="D9D9D9"/>
          </w:tcPr>
          <w:p w14:paraId="31C5AF3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07E0C06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11E05318" w14:textId="77777777">
        <w:tc>
          <w:tcPr>
            <w:tcW w:w="1129" w:type="dxa"/>
          </w:tcPr>
          <w:p w14:paraId="2B4F3AA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98A60F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 método-padrão</w:t>
            </w:r>
          </w:p>
          <w:p w14:paraId="6CB6384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22.</w:t>
            </w:r>
            <w:r w:rsidRPr="007B1664">
              <w:rPr>
                <w:rFonts w:ascii="Times New Roman" w:hAnsi="Times New Roman"/>
                <w:bCs/>
                <w:vertAlign w:val="superscript"/>
              </w:rPr>
              <w:t>o</w:t>
            </w:r>
            <w:r w:rsidRPr="007B1664">
              <w:rPr>
                <w:rFonts w:ascii="Times New Roman" w:hAnsi="Times New Roman"/>
                <w:bCs/>
              </w:rPr>
              <w:t>,</w:t>
            </w:r>
            <w:r w:rsidRPr="007B1664">
              <w:rPr>
                <w:rFonts w:ascii="Times New Roman" w:hAnsi="Times New Roman"/>
                <w:bCs/>
              </w:rPr>
              <w:t xml:space="preserve"> alínea a), do Regulamento (UE) 2019/2033.</w:t>
            </w:r>
          </w:p>
          <w:p w14:paraId="2599A1C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Posições em relação às quais um requisito de fundos próprios é determinado nos termos da parte III, título IV, capítulos 2, 3 ou 4,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7EE55D16" w14:textId="77777777">
        <w:tc>
          <w:tcPr>
            <w:tcW w:w="1129" w:type="dxa"/>
          </w:tcPr>
          <w:p w14:paraId="65E0869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198955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Risco de posição</w:t>
            </w:r>
          </w:p>
          <w:p w14:paraId="05A60AD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22.</w:t>
            </w:r>
            <w:r w:rsidRPr="007B1664">
              <w:rPr>
                <w:rFonts w:ascii="Times New Roman" w:hAnsi="Times New Roman"/>
                <w:bCs/>
                <w:vertAlign w:val="superscript"/>
              </w:rPr>
              <w:t>o</w:t>
            </w:r>
            <w:r w:rsidRPr="007B1664">
              <w:rPr>
                <w:rFonts w:ascii="Times New Roman" w:hAnsi="Times New Roman"/>
                <w:bCs/>
              </w:rPr>
              <w:t xml:space="preserve">, </w:t>
            </w:r>
            <w:r w:rsidRPr="007B1664">
              <w:rPr>
                <w:rFonts w:ascii="Times New Roman" w:hAnsi="Times New Roman"/>
                <w:bCs/>
              </w:rPr>
              <w:t>alínea a), e artigo 21.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3, do Regulamento (UE) 2019/2033.</w:t>
            </w:r>
          </w:p>
          <w:p w14:paraId="4DF9B01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Posições da carteira de negociação relativamente às quais um requisito de fundos próprios referente ao risco de posição é determinado nos termos da parte III, título IV, capítulo 2, do Regulam</w:t>
            </w:r>
            <w:r w:rsidRPr="007B1664">
              <w:rPr>
                <w:rFonts w:ascii="Times New Roman" w:hAnsi="Times New Roman"/>
                <w:bCs/>
              </w:rPr>
              <w:t>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766E736C" w14:textId="77777777">
        <w:tc>
          <w:tcPr>
            <w:tcW w:w="1129" w:type="dxa"/>
          </w:tcPr>
          <w:p w14:paraId="4031031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4F503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Instrumentos de capital próprio</w:t>
            </w:r>
          </w:p>
          <w:p w14:paraId="04C4E177"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t>Artigo 22.</w:t>
            </w:r>
            <w:r w:rsidRPr="007B1664">
              <w:rPr>
                <w:rFonts w:ascii="Times New Roman" w:hAnsi="Times New Roman"/>
                <w:bCs/>
                <w:vertAlign w:val="superscript"/>
              </w:rPr>
              <w:t>o</w:t>
            </w:r>
            <w:r w:rsidRPr="007B1664">
              <w:rPr>
                <w:rFonts w:ascii="Times New Roman" w:hAnsi="Times New Roman"/>
                <w:bCs/>
              </w:rPr>
              <w:t>, alínea a), e artigo 21.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3, do Regulamento (UE) 2019/2033.</w:t>
            </w:r>
          </w:p>
          <w:p w14:paraId="100A4E67" w14:textId="77777777" w:rsidR="000B1B99" w:rsidRPr="007B1664" w:rsidRDefault="007B1664">
            <w:pPr>
              <w:pStyle w:val="Default"/>
              <w:jc w:val="both"/>
              <w:rPr>
                <w:sz w:val="22"/>
                <w:szCs w:val="22"/>
              </w:rPr>
            </w:pPr>
            <w:r w:rsidRPr="007B1664">
              <w:rPr>
                <w:sz w:val="22"/>
                <w:szCs w:val="22"/>
              </w:rPr>
              <w:lastRenderedPageBreak/>
              <w:t xml:space="preserve">Posições da carteira de negociação em instrumentos de capitais próprios em relação às quais um requisito de </w:t>
            </w:r>
            <w:r w:rsidRPr="007B1664">
              <w:rPr>
                <w:sz w:val="22"/>
                <w:szCs w:val="22"/>
              </w:rPr>
              <w:t>fundos próprios é determinado nos termos da parte III, título IV, capítulo 2, secção 3, do Regulamento (UE) n.</w:t>
            </w:r>
            <w:r w:rsidRPr="007B1664">
              <w:rPr>
                <w:sz w:val="22"/>
                <w:szCs w:val="22"/>
                <w:vertAlign w:val="superscript"/>
              </w:rPr>
              <w:t>o</w:t>
            </w:r>
            <w:r w:rsidRPr="007B1664">
              <w:rPr>
                <w:sz w:val="22"/>
                <w:szCs w:val="22"/>
              </w:rPr>
              <w:t xml:space="preserve"> 575/2013. </w:t>
            </w:r>
          </w:p>
        </w:tc>
      </w:tr>
      <w:tr w:rsidR="000B1B99" w:rsidRPr="007B1664" w14:paraId="5133490A" w14:textId="77777777">
        <w:tc>
          <w:tcPr>
            <w:tcW w:w="1129" w:type="dxa"/>
          </w:tcPr>
          <w:p w14:paraId="064EE44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9957B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Instrumentos de dívida</w:t>
            </w:r>
          </w:p>
          <w:p w14:paraId="64C78124"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t>Artigo 22.</w:t>
            </w:r>
            <w:r w:rsidRPr="007B1664">
              <w:rPr>
                <w:rFonts w:ascii="Times New Roman" w:hAnsi="Times New Roman"/>
                <w:bCs/>
                <w:vertAlign w:val="superscript"/>
              </w:rPr>
              <w:t>o</w:t>
            </w:r>
            <w:r w:rsidRPr="007B1664">
              <w:rPr>
                <w:rFonts w:ascii="Times New Roman" w:hAnsi="Times New Roman"/>
                <w:bCs/>
              </w:rPr>
              <w:t>, alínea a), e artigo 21.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3, do Regulamento (UE) 2019/2033.</w:t>
            </w:r>
          </w:p>
          <w:p w14:paraId="54B2249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 xml:space="preserve">Posições da </w:t>
            </w:r>
            <w:r w:rsidRPr="007B1664">
              <w:rPr>
                <w:rFonts w:ascii="Times New Roman" w:hAnsi="Times New Roman"/>
              </w:rPr>
              <w:t>carteira de negociação em instrumentos de dívida relativamente às quais um requisito de fundos próprios é determinado nos termos da parte III, título IV, capítulo 2, secção 2, do Regulamento (UE) n.</w:t>
            </w:r>
            <w:r w:rsidRPr="007B1664">
              <w:rPr>
                <w:rFonts w:ascii="Times New Roman" w:hAnsi="Times New Roman"/>
                <w:vertAlign w:val="superscript"/>
              </w:rPr>
              <w:t>o</w:t>
            </w:r>
            <w:r w:rsidRPr="007B1664">
              <w:rPr>
                <w:rFonts w:ascii="Times New Roman" w:hAnsi="Times New Roman"/>
              </w:rPr>
              <w:t> 575/2013.</w:t>
            </w:r>
          </w:p>
        </w:tc>
      </w:tr>
      <w:tr w:rsidR="000B1B99" w:rsidRPr="007B1664" w14:paraId="3264C41D" w14:textId="77777777">
        <w:tc>
          <w:tcPr>
            <w:tcW w:w="1129" w:type="dxa"/>
          </w:tcPr>
          <w:p w14:paraId="3785F2B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BCB6B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titularizações</w:t>
            </w:r>
          </w:p>
          <w:p w14:paraId="6ABA3D5B"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bCs/>
              </w:rPr>
              <w:t>Artigo 22.</w:t>
            </w:r>
            <w:r w:rsidRPr="007B1664">
              <w:rPr>
                <w:rFonts w:ascii="Times New Roman" w:hAnsi="Times New Roman"/>
                <w:bCs/>
                <w:vertAlign w:val="superscript"/>
              </w:rPr>
              <w:t>o</w:t>
            </w:r>
            <w:r w:rsidRPr="007B1664">
              <w:rPr>
                <w:rFonts w:ascii="Times New Roman" w:hAnsi="Times New Roman"/>
                <w:bCs/>
              </w:rPr>
              <w:t>, alíne</w:t>
            </w:r>
            <w:r w:rsidRPr="007B1664">
              <w:rPr>
                <w:rFonts w:ascii="Times New Roman" w:hAnsi="Times New Roman"/>
                <w:bCs/>
              </w:rPr>
              <w:t>a a), e artigo 21.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3, do Regulamento (UE) 2019/2033.</w:t>
            </w:r>
          </w:p>
          <w:p w14:paraId="05D0B2B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Posições em instrumentos de titularização a que se refere o artigo 337.</w:t>
            </w:r>
            <w:r w:rsidRPr="007B1664">
              <w:rPr>
                <w:rFonts w:ascii="Times New Roman" w:hAnsi="Times New Roman"/>
                <w:vertAlign w:val="superscript"/>
              </w:rPr>
              <w:t>o</w:t>
            </w:r>
            <w:r w:rsidRPr="007B1664">
              <w:rPr>
                <w:rFonts w:ascii="Times New Roman" w:hAnsi="Times New Roman"/>
              </w:rPr>
              <w:t xml:space="preserve"> do Regulamento (UE) n.</w:t>
            </w:r>
            <w:r w:rsidRPr="007B1664">
              <w:rPr>
                <w:rFonts w:ascii="Times New Roman" w:hAnsi="Times New Roman"/>
                <w:vertAlign w:val="superscript"/>
              </w:rPr>
              <w:t>o</w:t>
            </w:r>
            <w:r w:rsidRPr="007B1664">
              <w:rPr>
                <w:rFonts w:ascii="Times New Roman" w:hAnsi="Times New Roman"/>
              </w:rPr>
              <w:t> 575/2013 e posições na carteira de negociação de correlação a que se refere o artigo 338.</w:t>
            </w:r>
            <w:r w:rsidRPr="007B1664">
              <w:rPr>
                <w:rFonts w:ascii="Times New Roman" w:hAnsi="Times New Roman"/>
                <w:vertAlign w:val="superscript"/>
              </w:rPr>
              <w:t>o</w:t>
            </w:r>
            <w:r w:rsidRPr="007B1664">
              <w:rPr>
                <w:rFonts w:ascii="Times New Roman" w:hAnsi="Times New Roman"/>
              </w:rPr>
              <w:t xml:space="preserve"> do Regula</w:t>
            </w:r>
            <w:r w:rsidRPr="007B1664">
              <w:rPr>
                <w:rFonts w:ascii="Times New Roman" w:hAnsi="Times New Roman"/>
              </w:rPr>
              <w:t>mento (UE) n.</w:t>
            </w:r>
            <w:r w:rsidRPr="007B1664">
              <w:rPr>
                <w:rFonts w:ascii="Times New Roman" w:hAnsi="Times New Roman"/>
                <w:vertAlign w:val="superscript"/>
              </w:rPr>
              <w:t>o</w:t>
            </w:r>
            <w:r w:rsidRPr="007B1664">
              <w:rPr>
                <w:rFonts w:ascii="Times New Roman" w:hAnsi="Times New Roman"/>
              </w:rPr>
              <w:t> 575/2013.</w:t>
            </w:r>
          </w:p>
        </w:tc>
      </w:tr>
      <w:tr w:rsidR="000B1B99" w:rsidRPr="007B1664" w14:paraId="5D89F356" w14:textId="77777777">
        <w:tc>
          <w:tcPr>
            <w:tcW w:w="1129" w:type="dxa"/>
            <w:tcBorders>
              <w:bottom w:val="single" w:sz="4" w:space="0" w:color="auto"/>
            </w:tcBorders>
          </w:tcPr>
          <w:p w14:paraId="5EC457C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67BBC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Método específico para riscos de posição em OIC</w:t>
            </w:r>
          </w:p>
          <w:p w14:paraId="7F9B2591"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bCs/>
              </w:rPr>
              <w:t>Artigo 22.</w:t>
            </w:r>
            <w:r w:rsidRPr="007B1664">
              <w:rPr>
                <w:rFonts w:ascii="Times New Roman" w:hAnsi="Times New Roman"/>
                <w:bCs/>
                <w:vertAlign w:val="superscript"/>
              </w:rPr>
              <w:t>o</w:t>
            </w:r>
            <w:r w:rsidRPr="007B1664">
              <w:rPr>
                <w:rFonts w:ascii="Times New Roman" w:hAnsi="Times New Roman"/>
                <w:bCs/>
              </w:rPr>
              <w:t>, alínea a), e artigo 21.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3, do Regulamento (UE) 2019/2033.</w:t>
            </w:r>
          </w:p>
          <w:p w14:paraId="7DFD23EF"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rPr>
              <w:t xml:space="preserve">Montante total das exposições sobre posições em OIC se os requisitos de fundos próprios forem </w:t>
            </w:r>
            <w:r w:rsidRPr="007B1664">
              <w:rPr>
                <w:rFonts w:ascii="Times New Roman" w:hAnsi="Times New Roman"/>
              </w:rPr>
              <w:t>calculados de acordo com o artigo 348.</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do Regulamento (UE) n.</w:t>
            </w:r>
            <w:r w:rsidRPr="007B1664">
              <w:rPr>
                <w:rFonts w:ascii="Times New Roman" w:hAnsi="Times New Roman"/>
                <w:vertAlign w:val="superscript"/>
              </w:rPr>
              <w:t>o</w:t>
            </w:r>
            <w:r w:rsidRPr="007B1664">
              <w:rPr>
                <w:rFonts w:ascii="Times New Roman" w:hAnsi="Times New Roman"/>
              </w:rPr>
              <w:t> 575/2013, quer imediatamente, quer em consequência da aplicação do limite definido no artigo 350.</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3, alínea c), do mesmo regulamento. O Regulamento (UE) n.</w:t>
            </w:r>
            <w:r w:rsidRPr="007B1664">
              <w:rPr>
                <w:rFonts w:ascii="Times New Roman" w:hAnsi="Times New Roman"/>
                <w:vertAlign w:val="superscript"/>
              </w:rPr>
              <w:t>o</w:t>
            </w:r>
            <w:r w:rsidRPr="007B1664">
              <w:rPr>
                <w:rFonts w:ascii="Times New Roman" w:hAnsi="Times New Roman"/>
              </w:rPr>
              <w:t> 575/2013 não afeta es</w:t>
            </w:r>
            <w:r w:rsidRPr="007B1664">
              <w:rPr>
                <w:rFonts w:ascii="Times New Roman" w:hAnsi="Times New Roman"/>
              </w:rPr>
              <w:t>pecificamente estas posições ao risco de taxa de juro ou ao risco sobre ações.</w:t>
            </w:r>
          </w:p>
          <w:p w14:paraId="73587631"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rPr>
              <w:t>Se for aplicado o método específico de acordo com o artigo 348.</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primeira frase, do Regulamento (UE) n.</w:t>
            </w:r>
            <w:r w:rsidRPr="007B1664">
              <w:rPr>
                <w:rFonts w:ascii="Times New Roman" w:hAnsi="Times New Roman"/>
                <w:vertAlign w:val="superscript"/>
              </w:rPr>
              <w:t>o</w:t>
            </w:r>
            <w:r w:rsidRPr="007B1664">
              <w:rPr>
                <w:rFonts w:ascii="Times New Roman" w:hAnsi="Times New Roman"/>
              </w:rPr>
              <w:t> 575/2013, o montante a comunicar corresponde a 32 % da posição l</w:t>
            </w:r>
            <w:r w:rsidRPr="007B1664">
              <w:rPr>
                <w:rFonts w:ascii="Times New Roman" w:hAnsi="Times New Roman"/>
              </w:rPr>
              <w:t>íquida perante o OIC em questão.</w:t>
            </w:r>
          </w:p>
          <w:p w14:paraId="23BB251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Se for aplicado o método específico de acordo com o artigo 348.</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segunda frase, do Regulamento (UE) n.</w:t>
            </w:r>
            <w:r w:rsidRPr="007B1664">
              <w:rPr>
                <w:rFonts w:ascii="Times New Roman" w:hAnsi="Times New Roman"/>
                <w:vertAlign w:val="superscript"/>
              </w:rPr>
              <w:t>o</w:t>
            </w:r>
            <w:r w:rsidRPr="007B1664">
              <w:rPr>
                <w:rFonts w:ascii="Times New Roman" w:hAnsi="Times New Roman"/>
              </w:rPr>
              <w:t xml:space="preserve"> 575/2013, o montante a comunicar é o mais baixo entre 32 % da posição líquida perante o OIC em causa e a </w:t>
            </w:r>
            <w:r w:rsidRPr="007B1664">
              <w:rPr>
                <w:rFonts w:ascii="Times New Roman" w:hAnsi="Times New Roman"/>
              </w:rPr>
              <w:t>diferença entre 40 % dessa posição líquida e os requisitos de fundos próprios decorrentes do risco cambial associado a tal exposição perante esse OIC.</w:t>
            </w:r>
          </w:p>
        </w:tc>
      </w:tr>
      <w:tr w:rsidR="000B1B99" w:rsidRPr="007B1664" w14:paraId="3F95BE58" w14:textId="77777777">
        <w:tc>
          <w:tcPr>
            <w:tcW w:w="1129" w:type="dxa"/>
            <w:tcBorders>
              <w:bottom w:val="single" w:sz="4" w:space="0" w:color="auto"/>
            </w:tcBorders>
          </w:tcPr>
          <w:p w14:paraId="1049153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C0ADA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Risco cambial</w:t>
            </w:r>
          </w:p>
          <w:p w14:paraId="20D3FB54"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t>Artigo 22.</w:t>
            </w:r>
            <w:r w:rsidRPr="007B1664">
              <w:rPr>
                <w:rFonts w:ascii="Times New Roman" w:hAnsi="Times New Roman"/>
                <w:bCs/>
                <w:vertAlign w:val="superscript"/>
              </w:rPr>
              <w:t>o</w:t>
            </w:r>
            <w:r w:rsidRPr="007B1664">
              <w:rPr>
                <w:rFonts w:ascii="Times New Roman" w:hAnsi="Times New Roman"/>
                <w:bCs/>
              </w:rPr>
              <w:t>, alínea a), e artigo 21.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3 e 4, do Regulamento (UE) 2019/2033.</w:t>
            </w:r>
          </w:p>
          <w:p w14:paraId="7F5D767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Pos</w:t>
            </w:r>
            <w:r w:rsidRPr="007B1664">
              <w:rPr>
                <w:rFonts w:ascii="Times New Roman" w:hAnsi="Times New Roman"/>
              </w:rPr>
              <w:t>ições sujeitas ao risco cambial em relação às quais um requisito de fundos próprios é determinado nos termos da parte III, título IV, capítulo 3, do Regulamento (UE) n.</w:t>
            </w:r>
            <w:r w:rsidRPr="007B1664">
              <w:rPr>
                <w:rFonts w:ascii="Times New Roman" w:hAnsi="Times New Roman"/>
                <w:vertAlign w:val="superscript"/>
              </w:rPr>
              <w:t>o</w:t>
            </w:r>
            <w:r w:rsidRPr="007B1664">
              <w:rPr>
                <w:rFonts w:ascii="Times New Roman" w:hAnsi="Times New Roman"/>
              </w:rPr>
              <w:t> 575/2013.</w:t>
            </w:r>
          </w:p>
        </w:tc>
      </w:tr>
      <w:tr w:rsidR="000B1B99" w:rsidRPr="007B1664" w14:paraId="56038794" w14:textId="77777777">
        <w:tc>
          <w:tcPr>
            <w:tcW w:w="1129" w:type="dxa"/>
            <w:tcBorders>
              <w:top w:val="single" w:sz="4" w:space="0" w:color="auto"/>
            </w:tcBorders>
          </w:tcPr>
          <w:p w14:paraId="6EB4020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ABE61A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Risco de mercadorias</w:t>
            </w:r>
          </w:p>
          <w:p w14:paraId="44B5ADAB"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bCs/>
              </w:rPr>
              <w:t>Artigo 22.</w:t>
            </w:r>
            <w:r w:rsidRPr="007B1664">
              <w:rPr>
                <w:rFonts w:ascii="Times New Roman" w:hAnsi="Times New Roman"/>
                <w:bCs/>
                <w:vertAlign w:val="superscript"/>
              </w:rPr>
              <w:t>o</w:t>
            </w:r>
            <w:r w:rsidRPr="007B1664">
              <w:rPr>
                <w:rFonts w:ascii="Times New Roman" w:hAnsi="Times New Roman"/>
                <w:bCs/>
              </w:rPr>
              <w:t>, alínea a), e artigo 21.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xml:space="preserve"> 3 e </w:t>
            </w:r>
            <w:r w:rsidRPr="007B1664">
              <w:rPr>
                <w:rFonts w:ascii="Times New Roman" w:hAnsi="Times New Roman"/>
                <w:bCs/>
              </w:rPr>
              <w:t>4, do Regulamento (UE) 2019/2033.</w:t>
            </w:r>
          </w:p>
          <w:p w14:paraId="08D45D1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Posições sujeitas ao risco de mercadorias em relação às quais um requisito de fundos próprios é determinado nos termos da parte III, título IV, capítulos 4, do Regulamento (UE) n.</w:t>
            </w:r>
            <w:r w:rsidRPr="007B1664">
              <w:rPr>
                <w:rFonts w:ascii="Times New Roman" w:hAnsi="Times New Roman"/>
                <w:vertAlign w:val="superscript"/>
              </w:rPr>
              <w:t>o</w:t>
            </w:r>
            <w:r w:rsidRPr="007B1664">
              <w:rPr>
                <w:rFonts w:ascii="Times New Roman" w:hAnsi="Times New Roman"/>
              </w:rPr>
              <w:t> 575/2013.</w:t>
            </w:r>
          </w:p>
        </w:tc>
      </w:tr>
      <w:tr w:rsidR="000B1B99" w:rsidRPr="007B1664" w14:paraId="15B65720" w14:textId="77777777">
        <w:tc>
          <w:tcPr>
            <w:tcW w:w="1129" w:type="dxa"/>
            <w:tcBorders>
              <w:top w:val="single" w:sz="4" w:space="0" w:color="auto"/>
              <w:left w:val="single" w:sz="4" w:space="0" w:color="auto"/>
              <w:bottom w:val="single" w:sz="4" w:space="0" w:color="auto"/>
              <w:right w:val="single" w:sz="4" w:space="0" w:color="auto"/>
            </w:tcBorders>
          </w:tcPr>
          <w:p w14:paraId="6075254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92355C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Método baseado nos </w:t>
            </w:r>
            <w:r w:rsidRPr="007B1664">
              <w:rPr>
                <w:rFonts w:ascii="Times New Roman" w:hAnsi="Times New Roman"/>
                <w:b/>
                <w:bCs/>
                <w:u w:val="single"/>
              </w:rPr>
              <w:t>modelos internos</w:t>
            </w:r>
          </w:p>
          <w:p w14:paraId="2B9E965A" w14:textId="77777777" w:rsidR="000B1B99" w:rsidRPr="007B1664" w:rsidRDefault="007B1664">
            <w:pPr>
              <w:spacing w:after="120" w:line="240" w:lineRule="auto"/>
              <w:jc w:val="both"/>
              <w:rPr>
                <w:rFonts w:ascii="Times New Roman" w:hAnsi="Times New Roman" w:cs="Times New Roman"/>
              </w:rPr>
            </w:pPr>
            <w:r w:rsidRPr="007B1664">
              <w:rPr>
                <w:rFonts w:ascii="Times New Roman" w:hAnsi="Times New Roman"/>
              </w:rPr>
              <w:t>Artigo 57.</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2, e artigo 21.</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os</w:t>
            </w:r>
            <w:r w:rsidRPr="007B1664">
              <w:rPr>
                <w:rFonts w:ascii="Times New Roman" w:hAnsi="Times New Roman"/>
              </w:rPr>
              <w:t> 3 e 4, do Regulamento (UE) 2019/2033.</w:t>
            </w:r>
          </w:p>
          <w:p w14:paraId="7DFAB31D" w14:textId="77777777" w:rsidR="000B1B99" w:rsidRPr="007B1664" w:rsidRDefault="007B1664">
            <w:pPr>
              <w:spacing w:after="120" w:line="240" w:lineRule="auto"/>
              <w:jc w:val="both"/>
              <w:rPr>
                <w:rFonts w:ascii="Times New Roman" w:eastAsia="Times New Roman" w:hAnsi="Times New Roman" w:cs="Times New Roman"/>
                <w:b/>
                <w:bCs/>
              </w:rPr>
            </w:pPr>
            <w:r w:rsidRPr="007B1664">
              <w:rPr>
                <w:rFonts w:ascii="Times New Roman" w:hAnsi="Times New Roman"/>
              </w:rPr>
              <w:t>Posições da carteira de negociação e posições extra carteira de negociação sujeitas ao risco cambial ou de mercadorias em relação às quais um requisito de fundos</w:t>
            </w:r>
            <w:r w:rsidRPr="007B1664">
              <w:rPr>
                <w:rFonts w:ascii="Times New Roman" w:hAnsi="Times New Roman"/>
              </w:rPr>
              <w:t xml:space="preserve"> próprios é determinado nos termos da parte III, título IV, capítulo 5, do Regulamento (UE) n.</w:t>
            </w:r>
            <w:r w:rsidRPr="007B1664">
              <w:rPr>
                <w:rFonts w:ascii="Times New Roman" w:hAnsi="Times New Roman"/>
                <w:vertAlign w:val="superscript"/>
              </w:rPr>
              <w:t>o</w:t>
            </w:r>
            <w:r w:rsidRPr="007B1664">
              <w:rPr>
                <w:rFonts w:ascii="Times New Roman" w:hAnsi="Times New Roman"/>
              </w:rPr>
              <w:t> 575/2013.</w:t>
            </w:r>
          </w:p>
        </w:tc>
      </w:tr>
    </w:tbl>
    <w:p w14:paraId="0F391635"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247694"/>
      <w:r w:rsidRPr="007B1664">
        <w:rPr>
          <w:rFonts w:ascii="Times New Roman" w:hAnsi="Times New Roman"/>
          <w:sz w:val="24"/>
          <w:szCs w:val="24"/>
          <w:u w:val="single"/>
        </w:rPr>
        <w:lastRenderedPageBreak/>
        <w:t>3.11. I 06.10 – MARGEM DE COMPENSAÇÃO CONCEDIDA - INFORMAÇÕES ADICIONAIS (I 6.10)</w:t>
      </w:r>
      <w:bookmarkEnd w:id="74"/>
    </w:p>
    <w:p w14:paraId="1C15AFD8" w14:textId="77777777" w:rsidR="000B1B99" w:rsidRPr="007B1664" w:rsidRDefault="007B1664">
      <w:pPr>
        <w:spacing w:line="256" w:lineRule="auto"/>
        <w:ind w:left="993" w:hanging="567"/>
        <w:jc w:val="both"/>
        <w:rPr>
          <w:rFonts w:ascii="Times New Roman" w:hAnsi="Times New Roman" w:cs="Times New Roman"/>
          <w:sz w:val="24"/>
        </w:rPr>
      </w:pPr>
      <w:r w:rsidRPr="007B1664">
        <w:rPr>
          <w:rFonts w:ascii="Times New Roman" w:hAnsi="Times New Roman" w:cs="Times New Roman"/>
          <w:sz w:val="24"/>
        </w:rPr>
        <w:t>15.</w:t>
      </w:r>
      <w:r w:rsidRPr="007B1664">
        <w:rPr>
          <w:rFonts w:ascii="Times New Roman" w:hAnsi="Times New Roman" w:cs="Times New Roman"/>
          <w:sz w:val="24"/>
        </w:rPr>
        <w:tab/>
      </w:r>
      <w:r w:rsidRPr="007B1664">
        <w:rPr>
          <w:rFonts w:ascii="Times New Roman" w:hAnsi="Times New Roman"/>
          <w:sz w:val="24"/>
        </w:rPr>
        <w:t xml:space="preserve">Neste modelo, as empresas que negoceiam por conta </w:t>
      </w:r>
      <w:r w:rsidRPr="007B1664">
        <w:rPr>
          <w:rFonts w:ascii="Times New Roman" w:hAnsi="Times New Roman"/>
          <w:sz w:val="24"/>
        </w:rPr>
        <w:t>própria devem declarar todos os membros compensadores das contrapartes centrais elegíveis sob cuja responsabilidade se realiza a execução e liquidação das transações da empresa.</w:t>
      </w:r>
    </w:p>
    <w:p w14:paraId="0707BAFA"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247695"/>
      <w:r w:rsidRPr="007B1664">
        <w:rPr>
          <w:rFonts w:ascii="Times New Roman" w:hAnsi="Times New Roman"/>
          <w:sz w:val="24"/>
          <w:szCs w:val="24"/>
        </w:rPr>
        <w:t xml:space="preserve">3.11.1. </w:t>
      </w:r>
      <w:r w:rsidRPr="007B1664">
        <w:rPr>
          <w:rFonts w:ascii="Times New Roman" w:hAnsi="Times New Roman"/>
          <w:sz w:val="24"/>
          <w:szCs w:val="24"/>
          <w:u w:val="single"/>
        </w:rPr>
        <w:t>Instruções relativas a posições específicas</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074A9FF2" w14:textId="77777777">
        <w:tc>
          <w:tcPr>
            <w:tcW w:w="1129" w:type="dxa"/>
            <w:shd w:val="clear" w:color="auto" w:fill="D9D9D9"/>
          </w:tcPr>
          <w:p w14:paraId="4E9CC39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w:t>
            </w:r>
          </w:p>
        </w:tc>
        <w:tc>
          <w:tcPr>
            <w:tcW w:w="7620" w:type="dxa"/>
            <w:shd w:val="clear" w:color="auto" w:fill="D9D9D9"/>
          </w:tcPr>
          <w:p w14:paraId="6F0754B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51B24512" w14:textId="77777777">
        <w:tc>
          <w:tcPr>
            <w:tcW w:w="1129" w:type="dxa"/>
          </w:tcPr>
          <w:p w14:paraId="54E6ACE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083F74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Membro compensador</w:t>
            </w:r>
          </w:p>
        </w:tc>
      </w:tr>
      <w:tr w:rsidR="000B1B99" w:rsidRPr="007B1664" w14:paraId="6929605B" w14:textId="77777777">
        <w:tc>
          <w:tcPr>
            <w:tcW w:w="1129" w:type="dxa"/>
          </w:tcPr>
          <w:p w14:paraId="3F109B0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B1947E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Nome</w:t>
            </w:r>
          </w:p>
          <w:p w14:paraId="13E8E86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As empresas de investimento devem declarar o nome de qualquer membro compensador das contrapartes centrais elegíveis sob cuja responsabilidade se realize a execução e </w:t>
            </w:r>
            <w:r w:rsidRPr="007B1664">
              <w:rPr>
                <w:rFonts w:ascii="Times New Roman" w:hAnsi="Times New Roman"/>
                <w:bCs/>
              </w:rPr>
              <w:t>liquidação de transações da empresa que negoceia por sua própria conta.</w:t>
            </w:r>
          </w:p>
        </w:tc>
      </w:tr>
      <w:tr w:rsidR="000B1B99" w:rsidRPr="007B1664" w14:paraId="56BCA35B" w14:textId="77777777">
        <w:tc>
          <w:tcPr>
            <w:tcW w:w="1129" w:type="dxa"/>
          </w:tcPr>
          <w:p w14:paraId="73627D3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4699D7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Código</w:t>
            </w:r>
          </w:p>
          <w:p w14:paraId="02CB926A" w14:textId="77777777" w:rsidR="000B1B99" w:rsidRPr="007B1664" w:rsidRDefault="007B1664">
            <w:pPr>
              <w:spacing w:after="120" w:line="240" w:lineRule="auto"/>
              <w:jc w:val="both"/>
              <w:rPr>
                <w:rFonts w:eastAsia="Times New Roman"/>
              </w:rPr>
            </w:pPr>
            <w:r w:rsidRPr="007B1664">
              <w:rPr>
                <w:rFonts w:ascii="Times New Roman" w:hAnsi="Times New Roman"/>
              </w:rPr>
              <w:t>O código como parte de um identificador de linha tem de ser único para cada entidade que é objeto de comunicação de informações. Para as empresas de investimento, o código</w:t>
            </w:r>
            <w:r w:rsidRPr="007B1664">
              <w:rPr>
                <w:rFonts w:ascii="Times New Roman" w:hAnsi="Times New Roman"/>
              </w:rPr>
              <w:t xml:space="preserve"> é o código LEI. Para outras entidades, o código é o código LEI ou, quando não disponível, um código nacional. O código deve ser único e utilizado de forma coerente em todos os modelos e ao longo do tempo. O código deve ter sempre um valor.</w:t>
            </w:r>
          </w:p>
        </w:tc>
      </w:tr>
      <w:tr w:rsidR="000B1B99" w:rsidRPr="007B1664" w14:paraId="5AE82778" w14:textId="77777777">
        <w:tc>
          <w:tcPr>
            <w:tcW w:w="1129" w:type="dxa"/>
          </w:tcPr>
          <w:p w14:paraId="1DD3B26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D6FE9D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Tipo de c</w:t>
            </w:r>
            <w:r w:rsidRPr="007B1664">
              <w:rPr>
                <w:rFonts w:ascii="Times New Roman" w:hAnsi="Times New Roman"/>
                <w:b/>
                <w:bCs/>
                <w:u w:val="single"/>
              </w:rPr>
              <w:t>ódigo</w:t>
            </w:r>
          </w:p>
          <w:p w14:paraId="2969CCF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 xml:space="preserve">O tipo de código comunicado na coluna 0020 deve ser identificado </w:t>
            </w:r>
            <w:r w:rsidRPr="007B1664">
              <w:rPr>
                <w:rStyle w:val="FormatvorlageInstructionsTabelleText"/>
                <w:rFonts w:ascii="Times New Roman" w:hAnsi="Times New Roman"/>
                <w:sz w:val="22"/>
              </w:rPr>
              <w:t>como «Tipo de código LEI» ou «Tipo de código nacional».</w:t>
            </w:r>
          </w:p>
        </w:tc>
      </w:tr>
      <w:tr w:rsidR="000B1B99" w:rsidRPr="007B1664" w14:paraId="38EB5668" w14:textId="77777777">
        <w:tc>
          <w:tcPr>
            <w:tcW w:w="1129" w:type="dxa"/>
          </w:tcPr>
          <w:p w14:paraId="173F125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9AF7516" w14:textId="77777777" w:rsidR="000B1B99" w:rsidRPr="007B1664" w:rsidRDefault="007B1664">
            <w:pPr>
              <w:spacing w:after="120" w:line="240" w:lineRule="auto"/>
              <w:rPr>
                <w:rFonts w:ascii="Times New Roman" w:eastAsia="Times New Roman" w:hAnsi="Times New Roman" w:cs="Times New Roman"/>
                <w:b/>
                <w:bCs/>
                <w:u w:val="single"/>
              </w:rPr>
            </w:pPr>
            <w:r w:rsidRPr="007B1664">
              <w:rPr>
                <w:rFonts w:ascii="Times New Roman" w:hAnsi="Times New Roman"/>
                <w:b/>
                <w:bCs/>
                <w:u w:val="single"/>
              </w:rPr>
              <w:t>Contribuição para a margem total exigida numa base diária</w:t>
            </w:r>
          </w:p>
          <w:p w14:paraId="0B2BB2E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As empresas de investimento devem comunicar </w:t>
            </w:r>
            <w:r w:rsidRPr="007B1664">
              <w:rPr>
                <w:rFonts w:ascii="Times New Roman" w:hAnsi="Times New Roman"/>
                <w:bCs/>
              </w:rPr>
              <w:t>informações relativas aos três dias dos três meses anteriores em que foi calculado o montante mais elevado, o segundo mais elevado e o terceiro mais elevado da margem total exigida numa base diária, como referido no artigo 23.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2, do Regulamento (UE) </w:t>
            </w:r>
            <w:r w:rsidRPr="007B1664">
              <w:rPr>
                <w:rFonts w:ascii="Times New Roman" w:hAnsi="Times New Roman"/>
                <w:bCs/>
              </w:rPr>
              <w:t>2019/2033.</w:t>
            </w:r>
          </w:p>
          <w:p w14:paraId="267AD63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 empresa de investimento deve incluir no modelo todos os membros compensadores que tenham sido utilizados em, pelo menos, um desses dias.</w:t>
            </w:r>
          </w:p>
          <w:p w14:paraId="5179638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 contribuição para a margem total exigida numa base diária deve ser comunicada como o montante antes da m</w:t>
            </w:r>
            <w:r w:rsidRPr="007B1664">
              <w:rPr>
                <w:rFonts w:ascii="Times New Roman" w:hAnsi="Times New Roman"/>
                <w:bCs/>
              </w:rPr>
              <w:t>ultiplicação pelo fator de 1,3 a que se refere o artigo 23.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2, do Regulamento (UE) 2019/2033. </w:t>
            </w:r>
          </w:p>
        </w:tc>
      </w:tr>
      <w:tr w:rsidR="000B1B99" w:rsidRPr="007B1664" w14:paraId="0B593BEB" w14:textId="77777777">
        <w:tc>
          <w:tcPr>
            <w:tcW w:w="1129" w:type="dxa"/>
          </w:tcPr>
          <w:p w14:paraId="375EA80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55FE82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Contribuição para a margem total exigida numa base diária - no dia do montante mais elevado da margem total exigida</w:t>
            </w:r>
          </w:p>
        </w:tc>
      </w:tr>
      <w:tr w:rsidR="000B1B99" w:rsidRPr="007B1664" w14:paraId="529FDB38" w14:textId="77777777">
        <w:tc>
          <w:tcPr>
            <w:tcW w:w="1129" w:type="dxa"/>
          </w:tcPr>
          <w:p w14:paraId="795C587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6BBEDD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Contribuição para a </w:t>
            </w:r>
            <w:r w:rsidRPr="007B1664">
              <w:rPr>
                <w:rFonts w:ascii="Times New Roman" w:hAnsi="Times New Roman"/>
                <w:b/>
                <w:bCs/>
                <w:u w:val="single"/>
              </w:rPr>
              <w:t>margem total exigida numa base diária - no dia do segundo montante mais elevado da margem total exigida</w:t>
            </w:r>
          </w:p>
        </w:tc>
      </w:tr>
      <w:tr w:rsidR="000B1B99" w:rsidRPr="007B1664" w14:paraId="1D23CA96" w14:textId="77777777">
        <w:tc>
          <w:tcPr>
            <w:tcW w:w="1129" w:type="dxa"/>
          </w:tcPr>
          <w:p w14:paraId="59A9E13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530D33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Contribuição para a margem total exigida numa base diária - no dia do terceiro montante mais elevado da margem total exigida</w:t>
            </w:r>
          </w:p>
        </w:tc>
      </w:tr>
    </w:tbl>
    <w:p w14:paraId="011F9BA9"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47696"/>
      <w:r w:rsidRPr="007B1664">
        <w:rPr>
          <w:rFonts w:ascii="Times New Roman" w:hAnsi="Times New Roman"/>
          <w:sz w:val="24"/>
          <w:szCs w:val="24"/>
          <w:u w:val="single"/>
        </w:rPr>
        <w:lastRenderedPageBreak/>
        <w:t xml:space="preserve">3.12. I 06.11 – </w:t>
      </w:r>
      <w:r w:rsidRPr="007B1664">
        <w:rPr>
          <w:rFonts w:ascii="Times New Roman" w:hAnsi="Times New Roman"/>
          <w:u w:val="single"/>
        </w:rPr>
        <w:t>INCUMPRIMENTO DA CONTRAPARTE NA NEGOCIAÇÃO - INFORMAÇÕES ADICIONAIS SOBRE INCUMPRIMENTO DA CONTRAPARTE NA NEGOCIAÇÃO (TCD) (I 6.11)</w:t>
      </w:r>
      <w:bookmarkEnd w:id="76"/>
    </w:p>
    <w:p w14:paraId="34A35A97"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47697"/>
      <w:r w:rsidRPr="007B1664">
        <w:rPr>
          <w:rFonts w:ascii="Times New Roman" w:hAnsi="Times New Roman"/>
          <w:sz w:val="24"/>
          <w:szCs w:val="24"/>
        </w:rPr>
        <w:t>3.12.1.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04C219EB" w14:textId="77777777">
        <w:tc>
          <w:tcPr>
            <w:tcW w:w="1129" w:type="dxa"/>
            <w:shd w:val="clear" w:color="auto" w:fill="D9D9D9"/>
          </w:tcPr>
          <w:p w14:paraId="79D7358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502DB69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5B992FFF" w14:textId="77777777">
        <w:tc>
          <w:tcPr>
            <w:tcW w:w="1129" w:type="dxa"/>
          </w:tcPr>
          <w:p w14:paraId="25691128" w14:textId="77777777" w:rsidR="000B1B99" w:rsidRPr="007B1664" w:rsidRDefault="007B1664">
            <w:pPr>
              <w:spacing w:after="120" w:line="240" w:lineRule="auto"/>
              <w:rPr>
                <w:rFonts w:ascii="Times New Roman" w:eastAsia="Times New Roman" w:hAnsi="Times New Roman" w:cs="Times New Roman"/>
                <w:bCs/>
              </w:rPr>
            </w:pPr>
            <w:r w:rsidRPr="007B1664">
              <w:rPr>
                <w:rFonts w:ascii="Times New Roman" w:hAnsi="Times New Roman"/>
                <w:bCs/>
              </w:rPr>
              <w:t xml:space="preserve">0010 </w:t>
            </w:r>
            <w:r w:rsidRPr="007B1664">
              <w:rPr>
                <w:rFonts w:ascii="Times New Roman" w:hAnsi="Times New Roman"/>
                <w:bCs/>
              </w:rPr>
              <w:t>- 008</w:t>
            </w:r>
            <w:r w:rsidRPr="007B1664">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AC3FBA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Repartição por método de determinação do valor da exposição</w:t>
            </w:r>
          </w:p>
        </w:tc>
      </w:tr>
      <w:tr w:rsidR="000B1B99" w:rsidRPr="007B1664" w14:paraId="3B262A72" w14:textId="77777777">
        <w:tc>
          <w:tcPr>
            <w:tcW w:w="1129" w:type="dxa"/>
          </w:tcPr>
          <w:p w14:paraId="1ED321A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4BFD41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Aplicação do Regulamento (UE) 2019/2033: K-TCD (Incumprimento da contraparte na negociação)</w:t>
            </w:r>
          </w:p>
          <w:p w14:paraId="6E388C4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26.</w:t>
            </w:r>
            <w:r w:rsidRPr="007B1664">
              <w:rPr>
                <w:rFonts w:ascii="Times New Roman" w:hAnsi="Times New Roman"/>
                <w:bCs/>
                <w:vertAlign w:val="superscript"/>
              </w:rPr>
              <w:t>o</w:t>
            </w:r>
            <w:r w:rsidRPr="007B1664">
              <w:rPr>
                <w:rFonts w:ascii="Times New Roman" w:hAnsi="Times New Roman"/>
                <w:bCs/>
              </w:rPr>
              <w:t xml:space="preserve"> do Regulamento (UE) 2019/2033.</w:t>
            </w:r>
          </w:p>
          <w:p w14:paraId="0A6AB81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Exposições relativamente às quais o requisito de </w:t>
            </w:r>
            <w:r w:rsidRPr="007B1664">
              <w:rPr>
                <w:rFonts w:ascii="Times New Roman" w:hAnsi="Times New Roman"/>
                <w:bCs/>
              </w:rPr>
              <w:t>fundos próprios é calculado como K-TCD nos termos do artigo 26.</w:t>
            </w:r>
            <w:r w:rsidRPr="007B1664">
              <w:rPr>
                <w:rFonts w:ascii="Times New Roman" w:hAnsi="Times New Roman"/>
                <w:bCs/>
                <w:vertAlign w:val="superscript"/>
              </w:rPr>
              <w:t>o</w:t>
            </w:r>
            <w:r w:rsidRPr="007B1664">
              <w:rPr>
                <w:rFonts w:ascii="Times New Roman" w:hAnsi="Times New Roman"/>
                <w:bCs/>
              </w:rPr>
              <w:t xml:space="preserve"> do Regulamento (UE) 2019/2033.</w:t>
            </w:r>
          </w:p>
        </w:tc>
      </w:tr>
      <w:tr w:rsidR="000B1B99" w:rsidRPr="007B1664" w14:paraId="0769EBD7" w14:textId="77777777">
        <w:tc>
          <w:tcPr>
            <w:tcW w:w="1129" w:type="dxa"/>
          </w:tcPr>
          <w:p w14:paraId="42371F3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B49B7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Métodos alternativos: Valor da exposição determinado em conformidade com o Regulamento (UE) n.</w:t>
            </w:r>
            <w:r w:rsidRPr="007B1664">
              <w:rPr>
                <w:rFonts w:ascii="Times New Roman" w:hAnsi="Times New Roman"/>
                <w:b/>
                <w:bCs/>
                <w:u w:val="single"/>
                <w:vertAlign w:val="superscript"/>
              </w:rPr>
              <w:t>o</w:t>
            </w:r>
            <w:r w:rsidRPr="007B1664">
              <w:rPr>
                <w:rFonts w:ascii="Times New Roman" w:hAnsi="Times New Roman"/>
                <w:b/>
                <w:bCs/>
                <w:u w:val="single"/>
              </w:rPr>
              <w:t> 575/2013</w:t>
            </w:r>
          </w:p>
          <w:p w14:paraId="46BC864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25.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primeiro parágrafo, do Regula</w:t>
            </w:r>
            <w:r w:rsidRPr="007B1664">
              <w:rPr>
                <w:rFonts w:ascii="Times New Roman" w:hAnsi="Times New Roman"/>
                <w:bCs/>
              </w:rPr>
              <w:t>mento (UE) 2019/2033.</w:t>
            </w:r>
          </w:p>
          <w:p w14:paraId="4977790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Exposições cujo valor é determinado de acordo com o Regulamento (UE) n.</w:t>
            </w:r>
            <w:r w:rsidRPr="007B1664">
              <w:rPr>
                <w:rFonts w:ascii="Times New Roman" w:hAnsi="Times New Roman"/>
                <w:bCs/>
                <w:vertAlign w:val="superscript"/>
              </w:rPr>
              <w:t>o</w:t>
            </w:r>
            <w:r w:rsidRPr="007B1664">
              <w:rPr>
                <w:rFonts w:ascii="Times New Roman" w:hAnsi="Times New Roman"/>
                <w:bCs/>
              </w:rPr>
              <w:t> 575/2013 e cujos requisitos de fundos próprios conexos são calculados multiplicando o valor da exposição pelo fator de risco constante do quadro 2 do artigo 26.</w:t>
            </w:r>
            <w:r w:rsidRPr="007B1664">
              <w:rPr>
                <w:rFonts w:ascii="Times New Roman" w:hAnsi="Times New Roman"/>
                <w:bCs/>
                <w:vertAlign w:val="superscript"/>
              </w:rPr>
              <w:t>o</w:t>
            </w:r>
            <w:r w:rsidRPr="007B1664">
              <w:rPr>
                <w:rFonts w:ascii="Times New Roman" w:hAnsi="Times New Roman"/>
                <w:bCs/>
              </w:rPr>
              <w:t xml:space="preserve"> do Regulamento (UE) 2019/2033.</w:t>
            </w:r>
          </w:p>
        </w:tc>
      </w:tr>
      <w:tr w:rsidR="000B1B99" w:rsidRPr="007B1664" w14:paraId="3374411A" w14:textId="77777777">
        <w:tc>
          <w:tcPr>
            <w:tcW w:w="1129" w:type="dxa"/>
          </w:tcPr>
          <w:p w14:paraId="05894DB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77C25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SA-Risco de crédito da contraparte</w:t>
            </w:r>
          </w:p>
          <w:p w14:paraId="30687C4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274.</w:t>
            </w:r>
            <w:r w:rsidRPr="007B1664">
              <w:rPr>
                <w:rFonts w:ascii="Times New Roman" w:hAnsi="Times New Roman"/>
                <w:bCs/>
                <w:vertAlign w:val="superscript"/>
              </w:rPr>
              <w:t>o</w:t>
            </w:r>
            <w:r w:rsidRPr="007B1664">
              <w:rPr>
                <w:rFonts w:ascii="Times New Roman" w:hAnsi="Times New Roman"/>
                <w:bCs/>
              </w:rPr>
              <w:t xml:space="preserve">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2AEA7CC5" w14:textId="77777777">
        <w:tc>
          <w:tcPr>
            <w:tcW w:w="1129" w:type="dxa"/>
          </w:tcPr>
          <w:p w14:paraId="0DF25AB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58ED0E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Método-padrão-risco de crédito da contraparte simplificado</w:t>
            </w:r>
          </w:p>
          <w:p w14:paraId="72F1377C" w14:textId="77777777" w:rsidR="000B1B99" w:rsidRPr="007B1664" w:rsidRDefault="007B1664">
            <w:pPr>
              <w:spacing w:after="120" w:line="240" w:lineRule="auto"/>
              <w:jc w:val="both"/>
              <w:rPr>
                <w:rFonts w:ascii="Times New Roman" w:eastAsia="Times New Roman" w:hAnsi="Times New Roman" w:cs="Times New Roman"/>
              </w:rPr>
            </w:pPr>
            <w:r w:rsidRPr="007B1664">
              <w:rPr>
                <w:rFonts w:ascii="Times New Roman" w:hAnsi="Times New Roman"/>
                <w:bCs/>
              </w:rPr>
              <w:t>Artigo 281.</w:t>
            </w:r>
            <w:r w:rsidRPr="007B1664">
              <w:rPr>
                <w:rFonts w:ascii="Times New Roman" w:hAnsi="Times New Roman"/>
                <w:bCs/>
                <w:vertAlign w:val="superscript"/>
              </w:rPr>
              <w:t>o</w:t>
            </w:r>
            <w:r w:rsidRPr="007B1664">
              <w:rPr>
                <w:rFonts w:ascii="Times New Roman" w:hAnsi="Times New Roman"/>
                <w:bCs/>
              </w:rPr>
              <w:t xml:space="preserve">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79CF72B6" w14:textId="77777777">
        <w:tc>
          <w:tcPr>
            <w:tcW w:w="1129" w:type="dxa"/>
          </w:tcPr>
          <w:p w14:paraId="00C15AA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4BE636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Método da </w:t>
            </w:r>
            <w:r w:rsidRPr="007B1664">
              <w:rPr>
                <w:rFonts w:ascii="Times New Roman" w:hAnsi="Times New Roman"/>
                <w:b/>
                <w:bCs/>
                <w:u w:val="single"/>
              </w:rPr>
              <w:t>exposição inicial</w:t>
            </w:r>
          </w:p>
          <w:p w14:paraId="66F9020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Artigo 282.</w:t>
            </w:r>
            <w:r w:rsidRPr="007B1664">
              <w:rPr>
                <w:rFonts w:ascii="Times New Roman" w:hAnsi="Times New Roman"/>
                <w:vertAlign w:val="superscript"/>
              </w:rPr>
              <w:t>o</w:t>
            </w:r>
            <w:r w:rsidRPr="007B1664">
              <w:rPr>
                <w:rFonts w:ascii="Times New Roman" w:hAnsi="Times New Roman"/>
              </w:rPr>
              <w:t xml:space="preserve"> do Regulamento (UE) n.</w:t>
            </w:r>
            <w:r w:rsidRPr="007B1664">
              <w:rPr>
                <w:rFonts w:ascii="Times New Roman" w:hAnsi="Times New Roman"/>
                <w:vertAlign w:val="superscript"/>
              </w:rPr>
              <w:t>o</w:t>
            </w:r>
            <w:r w:rsidRPr="007B1664">
              <w:rPr>
                <w:rFonts w:ascii="Times New Roman" w:hAnsi="Times New Roman"/>
              </w:rPr>
              <w:t> 575/2013</w:t>
            </w:r>
          </w:p>
        </w:tc>
      </w:tr>
      <w:tr w:rsidR="000B1B99" w:rsidRPr="007B1664" w14:paraId="24C750FB" w14:textId="77777777">
        <w:tc>
          <w:tcPr>
            <w:tcW w:w="1129" w:type="dxa"/>
          </w:tcPr>
          <w:p w14:paraId="2670A01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B947A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Métodos alternativos: Plena aplicação do quadro do Regulamento (UE) n.</w:t>
            </w:r>
            <w:r w:rsidRPr="007B1664">
              <w:rPr>
                <w:rFonts w:ascii="Times New Roman" w:hAnsi="Times New Roman"/>
                <w:b/>
                <w:bCs/>
                <w:u w:val="single"/>
                <w:vertAlign w:val="superscript"/>
              </w:rPr>
              <w:t>o</w:t>
            </w:r>
            <w:r w:rsidRPr="007B1664">
              <w:rPr>
                <w:rFonts w:ascii="Times New Roman" w:hAnsi="Times New Roman"/>
                <w:b/>
                <w:bCs/>
                <w:u w:val="single"/>
              </w:rPr>
              <w:t> 575/2013</w:t>
            </w:r>
          </w:p>
          <w:p w14:paraId="63FF84B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25.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4, segundo parágrafo, do Regulamento (UE) 2019/2033.</w:t>
            </w:r>
          </w:p>
          <w:p w14:paraId="5C9394F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Exposições cujo valor de </w:t>
            </w:r>
            <w:r w:rsidRPr="007B1664">
              <w:rPr>
                <w:rFonts w:ascii="Times New Roman" w:hAnsi="Times New Roman"/>
                <w:bCs/>
              </w:rPr>
              <w:t>exposição e correspondentes requisitos de fundos próprios são determinados nos termos do Regulamento (UE) n.</w:t>
            </w:r>
            <w:r w:rsidRPr="007B1664">
              <w:rPr>
                <w:rFonts w:ascii="Times New Roman" w:hAnsi="Times New Roman"/>
                <w:bCs/>
                <w:vertAlign w:val="superscript"/>
              </w:rPr>
              <w:t>o</w:t>
            </w:r>
            <w:r w:rsidRPr="007B1664">
              <w:rPr>
                <w:rFonts w:ascii="Times New Roman" w:hAnsi="Times New Roman"/>
                <w:bCs/>
              </w:rPr>
              <w:t xml:space="preserve"> 575/2013. </w:t>
            </w:r>
          </w:p>
        </w:tc>
      </w:tr>
      <w:tr w:rsidR="000B1B99" w:rsidRPr="007B1664" w14:paraId="741A9916" w14:textId="77777777">
        <w:tc>
          <w:tcPr>
            <w:tcW w:w="1129" w:type="dxa"/>
          </w:tcPr>
          <w:p w14:paraId="0D7A60F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E6848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Elemento para memória: Componente de ajustamento da avaliação de crédito (CVA)</w:t>
            </w:r>
          </w:p>
          <w:p w14:paraId="6877DE2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25.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e artigo 26.</w:t>
            </w:r>
            <w:r w:rsidRPr="007B1664">
              <w:rPr>
                <w:rFonts w:ascii="Times New Roman" w:hAnsi="Times New Roman"/>
                <w:bCs/>
                <w:vertAlign w:val="superscript"/>
              </w:rPr>
              <w:t>o</w:t>
            </w:r>
            <w:r w:rsidRPr="007B1664">
              <w:rPr>
                <w:rFonts w:ascii="Times New Roman" w:hAnsi="Times New Roman"/>
                <w:bCs/>
              </w:rPr>
              <w:t xml:space="preserve"> do Regulamento (</w:t>
            </w:r>
            <w:r w:rsidRPr="007B1664">
              <w:rPr>
                <w:rFonts w:ascii="Times New Roman" w:hAnsi="Times New Roman"/>
                <w:bCs/>
              </w:rPr>
              <w:t>UE) 2019/2033.</w:t>
            </w:r>
          </w:p>
          <w:p w14:paraId="599167B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Caso as instituições apliquem o método previsto no artigo 26.</w:t>
            </w:r>
            <w:r w:rsidRPr="007B1664">
              <w:rPr>
                <w:rFonts w:ascii="Times New Roman" w:hAnsi="Times New Roman"/>
                <w:bCs/>
                <w:vertAlign w:val="superscript"/>
              </w:rPr>
              <w:t>o</w:t>
            </w:r>
            <w:r w:rsidRPr="007B1664">
              <w:rPr>
                <w:rFonts w:ascii="Times New Roman" w:hAnsi="Times New Roman"/>
                <w:bCs/>
              </w:rPr>
              <w:t xml:space="preserve"> do Regulamento (UE) 2019/2033 ou apliquem a derrogação prevista no artigo 26.</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5, primeiro parágrafo, do Regulamento (UE) 2019/2033, a componente «ajustamento da </w:t>
            </w:r>
            <w:r w:rsidRPr="007B1664">
              <w:rPr>
                <w:rFonts w:ascii="Times New Roman" w:hAnsi="Times New Roman"/>
                <w:bCs/>
              </w:rPr>
              <w:t>avaliação de crédito» (CVA) é determinada como a diferença entre o montante em causa após a aplicação do multiplicador do fator CVA e o montante em causa antes da aplicação do multiplicador do fator CVA.</w:t>
            </w:r>
          </w:p>
          <w:p w14:paraId="3A44952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Caso uma instituição aplique a derrogação prevista n</w:t>
            </w:r>
            <w:r w:rsidRPr="007B1664">
              <w:rPr>
                <w:rFonts w:ascii="Times New Roman" w:hAnsi="Times New Roman"/>
                <w:bCs/>
              </w:rPr>
              <w:t>o artigo 25.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segundo parágrafo, do Regulamento (UE) 2019/2033, a componente CVA é determinada nos termos do título VI, parte III,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30FC7AFD" w14:textId="77777777">
        <w:tc>
          <w:tcPr>
            <w:tcW w:w="1129" w:type="dxa"/>
          </w:tcPr>
          <w:p w14:paraId="3B6FC95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A8CF60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sendo: calculado de acordo com o quadro do Regulamento (UE) n.</w:t>
            </w:r>
            <w:r w:rsidRPr="007B1664">
              <w:rPr>
                <w:rFonts w:ascii="Times New Roman" w:hAnsi="Times New Roman"/>
                <w:b/>
                <w:bCs/>
                <w:u w:val="single"/>
                <w:vertAlign w:val="superscript"/>
              </w:rPr>
              <w:t>o</w:t>
            </w:r>
            <w:r w:rsidRPr="007B1664">
              <w:rPr>
                <w:rFonts w:ascii="Times New Roman" w:hAnsi="Times New Roman"/>
                <w:b/>
                <w:bCs/>
                <w:u w:val="single"/>
              </w:rPr>
              <w:t> 575/2013</w:t>
            </w:r>
          </w:p>
          <w:p w14:paraId="1CC79DC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w:t>
            </w:r>
            <w:r w:rsidRPr="007B1664">
              <w:rPr>
                <w:rFonts w:ascii="Times New Roman" w:hAnsi="Times New Roman"/>
                <w:bCs/>
              </w:rPr>
              <w:t>go 25.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5, segundo parágrafo, do Regulamento (UE) 2019/2033.</w:t>
            </w:r>
          </w:p>
        </w:tc>
      </w:tr>
      <w:tr w:rsidR="000B1B99" w:rsidRPr="007B1664" w14:paraId="1938071E" w14:textId="77777777">
        <w:tc>
          <w:tcPr>
            <w:tcW w:w="1129" w:type="dxa"/>
          </w:tcPr>
          <w:p w14:paraId="61070F6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0090 </w:t>
            </w:r>
            <w:r w:rsidRPr="007B1664">
              <w:rPr>
                <w:rFonts w:ascii="Times New Roman" w:hAnsi="Times New Roman"/>
                <w:bCs/>
              </w:rPr>
              <w:t>- 011</w:t>
            </w:r>
            <w:r w:rsidRPr="007B1664">
              <w:rPr>
                <w:rFonts w:ascii="Times New Roman" w:hAnsi="Times New Roman"/>
                <w:bCs/>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E5E36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Repartição por tipo de contraparte</w:t>
            </w:r>
          </w:p>
          <w:p w14:paraId="1C5237E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 desagregação por contraparte deve basear-se nos tipos de contrapartes referidos no quadro 2 do artigo 26.</w:t>
            </w:r>
            <w:r w:rsidRPr="007B1664">
              <w:rPr>
                <w:rFonts w:ascii="Times New Roman" w:hAnsi="Times New Roman"/>
                <w:bCs/>
                <w:vertAlign w:val="superscript"/>
              </w:rPr>
              <w:t>o</w:t>
            </w:r>
            <w:r w:rsidRPr="007B1664">
              <w:rPr>
                <w:rFonts w:ascii="Times New Roman" w:hAnsi="Times New Roman"/>
                <w:bCs/>
              </w:rPr>
              <w:t xml:space="preserve"> do Regulamento (UE) 2019/2033.</w:t>
            </w:r>
          </w:p>
        </w:tc>
      </w:tr>
      <w:tr w:rsidR="000B1B99" w:rsidRPr="007B1664" w14:paraId="560C5ADE" w14:textId="77777777">
        <w:tc>
          <w:tcPr>
            <w:tcW w:w="1129" w:type="dxa"/>
          </w:tcPr>
          <w:p w14:paraId="1575CE1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36FE0B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Administrações centrais, bancos centrais e entidades do setor público</w:t>
            </w:r>
          </w:p>
        </w:tc>
      </w:tr>
      <w:tr w:rsidR="000B1B99" w:rsidRPr="007B1664" w14:paraId="5AC30F04" w14:textId="77777777">
        <w:tc>
          <w:tcPr>
            <w:tcW w:w="1129" w:type="dxa"/>
          </w:tcPr>
          <w:p w14:paraId="3306CBB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6C1255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Instituições de crédito e empresas de investimento</w:t>
            </w:r>
          </w:p>
        </w:tc>
      </w:tr>
      <w:tr w:rsidR="000B1B99" w:rsidRPr="007B1664" w14:paraId="742C0AB6" w14:textId="77777777">
        <w:tc>
          <w:tcPr>
            <w:tcW w:w="1129" w:type="dxa"/>
          </w:tcPr>
          <w:p w14:paraId="0823E91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B0F82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Outras contrapartes</w:t>
            </w:r>
          </w:p>
        </w:tc>
      </w:tr>
    </w:tbl>
    <w:p w14:paraId="58A3EA91" w14:textId="77777777" w:rsidR="000B1B99" w:rsidRPr="007B1664" w:rsidRDefault="000B1B99">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0B1B99" w:rsidRPr="007B1664" w14:paraId="43AEA52D" w14:textId="77777777">
        <w:trPr>
          <w:trHeight w:val="382"/>
        </w:trPr>
        <w:tc>
          <w:tcPr>
            <w:tcW w:w="1140" w:type="dxa"/>
            <w:shd w:val="clear" w:color="auto" w:fill="D9D9D9"/>
          </w:tcPr>
          <w:p w14:paraId="236A9FA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w:t>
            </w:r>
          </w:p>
        </w:tc>
        <w:tc>
          <w:tcPr>
            <w:tcW w:w="7700" w:type="dxa"/>
            <w:shd w:val="clear" w:color="auto" w:fill="D9D9D9"/>
          </w:tcPr>
          <w:p w14:paraId="4C7BC7D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45FE8DFB" w14:textId="77777777">
        <w:trPr>
          <w:trHeight w:val="1019"/>
        </w:trPr>
        <w:tc>
          <w:tcPr>
            <w:tcW w:w="1140" w:type="dxa"/>
          </w:tcPr>
          <w:p w14:paraId="1E0384E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80EEF7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Requisito baseado nos fatores K</w:t>
            </w:r>
          </w:p>
          <w:p w14:paraId="40061FC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O </w:t>
            </w:r>
            <w:r w:rsidRPr="007B1664">
              <w:rPr>
                <w:rFonts w:ascii="Times New Roman" w:hAnsi="Times New Roman"/>
                <w:bCs/>
              </w:rPr>
              <w:t>requisito de fundos próprios deve ser comunicado como calculado nos termos do artigo 26.</w:t>
            </w:r>
            <w:r w:rsidRPr="007B1664">
              <w:rPr>
                <w:rFonts w:ascii="Times New Roman" w:hAnsi="Times New Roman"/>
                <w:bCs/>
                <w:vertAlign w:val="superscript"/>
              </w:rPr>
              <w:t>o</w:t>
            </w:r>
            <w:r w:rsidRPr="007B1664">
              <w:rPr>
                <w:rFonts w:ascii="Times New Roman" w:hAnsi="Times New Roman"/>
                <w:bCs/>
              </w:rPr>
              <w:t xml:space="preserve"> do Regulamento (UE) 2019/2033 ou das disposições aplicáveis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7912BDB9" w14:textId="77777777">
        <w:trPr>
          <w:trHeight w:val="764"/>
        </w:trPr>
        <w:tc>
          <w:tcPr>
            <w:tcW w:w="1140" w:type="dxa"/>
          </w:tcPr>
          <w:p w14:paraId="5199AAD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F3C50C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Valor da exposição</w:t>
            </w:r>
          </w:p>
          <w:p w14:paraId="17F3A52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O valor da exposição calculado em conformidade </w:t>
            </w:r>
            <w:r w:rsidRPr="007B1664">
              <w:rPr>
                <w:rFonts w:ascii="Times New Roman" w:hAnsi="Times New Roman"/>
                <w:bCs/>
              </w:rPr>
              <w:t>com o artigo 27.</w:t>
            </w:r>
            <w:r w:rsidRPr="007B1664">
              <w:rPr>
                <w:rFonts w:ascii="Times New Roman" w:hAnsi="Times New Roman"/>
                <w:bCs/>
                <w:vertAlign w:val="superscript"/>
              </w:rPr>
              <w:t>o</w:t>
            </w:r>
            <w:r w:rsidRPr="007B1664">
              <w:rPr>
                <w:rFonts w:ascii="Times New Roman" w:hAnsi="Times New Roman"/>
                <w:bCs/>
              </w:rPr>
              <w:t xml:space="preserve"> do Regulamento (UE) 2019/2033 ou com as disposições aplicáveis do Regulamento (UE) n.</w:t>
            </w:r>
            <w:r w:rsidRPr="007B1664">
              <w:rPr>
                <w:rFonts w:ascii="Times New Roman" w:hAnsi="Times New Roman"/>
                <w:bCs/>
                <w:vertAlign w:val="superscript"/>
              </w:rPr>
              <w:t>o</w:t>
            </w:r>
            <w:r w:rsidRPr="007B1664">
              <w:rPr>
                <w:rFonts w:ascii="Times New Roman" w:hAnsi="Times New Roman"/>
                <w:bCs/>
              </w:rPr>
              <w:t> 575/2013.</w:t>
            </w:r>
          </w:p>
        </w:tc>
      </w:tr>
      <w:tr w:rsidR="000B1B99" w:rsidRPr="007B1664" w14:paraId="1330B023" w14:textId="77777777">
        <w:trPr>
          <w:trHeight w:val="764"/>
        </w:trPr>
        <w:tc>
          <w:tcPr>
            <w:tcW w:w="1140" w:type="dxa"/>
          </w:tcPr>
          <w:p w14:paraId="5F05612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C6C4A2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Custo de substituição (RC)</w:t>
            </w:r>
          </w:p>
          <w:p w14:paraId="11660DE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28.</w:t>
            </w:r>
            <w:r w:rsidRPr="007B1664">
              <w:rPr>
                <w:rFonts w:ascii="Times New Roman" w:hAnsi="Times New Roman"/>
                <w:bCs/>
                <w:vertAlign w:val="superscript"/>
              </w:rPr>
              <w:t>o</w:t>
            </w:r>
            <w:r w:rsidRPr="007B1664">
              <w:rPr>
                <w:rFonts w:ascii="Times New Roman" w:hAnsi="Times New Roman"/>
                <w:bCs/>
              </w:rPr>
              <w:t xml:space="preserve"> do Regulamento (UE) 2019/2033.</w:t>
            </w:r>
          </w:p>
        </w:tc>
      </w:tr>
      <w:tr w:rsidR="000B1B99" w:rsidRPr="007B1664" w14:paraId="5BA05A5F" w14:textId="77777777">
        <w:trPr>
          <w:trHeight w:val="764"/>
        </w:trPr>
        <w:tc>
          <w:tcPr>
            <w:tcW w:w="1140" w:type="dxa"/>
          </w:tcPr>
          <w:p w14:paraId="4DE1F84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0FF3D5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Exposição futura potencial (PFE)</w:t>
            </w:r>
          </w:p>
          <w:p w14:paraId="0AE0581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29.</w:t>
            </w:r>
            <w:r w:rsidRPr="007B1664">
              <w:rPr>
                <w:rFonts w:ascii="Times New Roman" w:hAnsi="Times New Roman"/>
                <w:bCs/>
                <w:vertAlign w:val="superscript"/>
              </w:rPr>
              <w:t>o</w:t>
            </w:r>
            <w:r w:rsidRPr="007B1664">
              <w:rPr>
                <w:rFonts w:ascii="Times New Roman" w:hAnsi="Times New Roman"/>
                <w:bCs/>
              </w:rPr>
              <w:t xml:space="preserve"> do Regulamento (UE) 2019/2033.</w:t>
            </w:r>
          </w:p>
        </w:tc>
      </w:tr>
      <w:tr w:rsidR="000B1B99" w:rsidRPr="007B1664" w14:paraId="25092B9A" w14:textId="77777777">
        <w:trPr>
          <w:trHeight w:val="810"/>
        </w:trPr>
        <w:tc>
          <w:tcPr>
            <w:tcW w:w="1140" w:type="dxa"/>
          </w:tcPr>
          <w:p w14:paraId="31B7DD8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5BB71C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Caução (C)</w:t>
            </w:r>
          </w:p>
          <w:p w14:paraId="33085C9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30.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2 e 3, do Regulamento (UE) 2019/2033.</w:t>
            </w:r>
          </w:p>
          <w:p w14:paraId="62D51EB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O valor comunicado deve corresponder ao valor da caução utilizado para o cálculo do valor da exposição e, por conseguinte, se aplicável, ao valor após </w:t>
            </w:r>
            <w:r w:rsidRPr="007B1664">
              <w:rPr>
                <w:rFonts w:ascii="Times New Roman" w:hAnsi="Times New Roman"/>
                <w:bCs/>
              </w:rPr>
              <w:t>a aplicação do ajustamento de volatilidade e do ajustamento de volatilidade para desfasamento entre moedas previstos nos artigos 30.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os</w:t>
            </w:r>
            <w:r w:rsidRPr="007B1664">
              <w:rPr>
                <w:rFonts w:ascii="Times New Roman" w:hAnsi="Times New Roman"/>
                <w:bCs/>
              </w:rPr>
              <w:t> 1 e 3, do Regulamento (UE) 2019/2033.</w:t>
            </w:r>
          </w:p>
        </w:tc>
      </w:tr>
    </w:tbl>
    <w:p w14:paraId="6BDA7ED8" w14:textId="77777777" w:rsidR="000B1B99" w:rsidRPr="007B1664" w:rsidRDefault="000B1B99">
      <w:pPr>
        <w:rPr>
          <w:sz w:val="10"/>
          <w:szCs w:val="10"/>
        </w:rPr>
      </w:pPr>
    </w:p>
    <w:p w14:paraId="384124BF"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u w:val="single"/>
        </w:rPr>
      </w:pPr>
      <w:bookmarkStart w:id="78" w:name="_Toc88247698"/>
      <w:r w:rsidRPr="007B1664">
        <w:rPr>
          <w:rFonts w:ascii="Times New Roman" w:hAnsi="Times New Roman"/>
          <w:sz w:val="24"/>
          <w:szCs w:val="24"/>
          <w:u w:val="single"/>
        </w:rPr>
        <w:t xml:space="preserve">3.13. I 06.12 </w:t>
      </w:r>
      <w:r w:rsidRPr="007B1664">
        <w:rPr>
          <w:rFonts w:ascii="Times New Roman" w:hAnsi="Times New Roman"/>
          <w:u w:val="single"/>
        </w:rPr>
        <w:t xml:space="preserve">– FLUXO DIÁRIO DE NEGOCIAÇÃO - INFORMAÇÕES </w:t>
      </w:r>
      <w:r w:rsidRPr="007B1664">
        <w:rPr>
          <w:rFonts w:ascii="Times New Roman" w:hAnsi="Times New Roman"/>
          <w:u w:val="single"/>
        </w:rPr>
        <w:t>ADICIONAIS (I 6.12)</w:t>
      </w:r>
      <w:bookmarkEnd w:id="78"/>
    </w:p>
    <w:p w14:paraId="362B8C07"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247699"/>
      <w:r w:rsidRPr="007B1664">
        <w:rPr>
          <w:rFonts w:ascii="Times New Roman" w:hAnsi="Times New Roman"/>
          <w:sz w:val="24"/>
          <w:szCs w:val="24"/>
        </w:rPr>
        <w:t>3.13.1.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55654A7D" w14:textId="77777777">
        <w:tc>
          <w:tcPr>
            <w:tcW w:w="1129" w:type="dxa"/>
            <w:shd w:val="clear" w:color="auto" w:fill="D9D9D9"/>
          </w:tcPr>
          <w:p w14:paraId="3FA7BDD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2129A32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57F32922" w14:textId="77777777">
        <w:tc>
          <w:tcPr>
            <w:tcW w:w="1129" w:type="dxa"/>
          </w:tcPr>
          <w:p w14:paraId="29E77B2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06C1D3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Fluxo diário de negociação total (DTF) - transações em numerário (montantes médios)</w:t>
            </w:r>
          </w:p>
          <w:p w14:paraId="3EA8F07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As empresas de investimento devem comunicar a </w:t>
            </w:r>
            <w:r w:rsidRPr="007B1664">
              <w:rPr>
                <w:rFonts w:ascii="Times New Roman" w:hAnsi="Times New Roman"/>
                <w:bCs/>
              </w:rPr>
              <w:t>média aritmética de DTF - transações em numerário dos seis meses restantes, de acordo com 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 devendo ser calculada nos termos do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a), do Regulamento (UE) 2019/2</w:t>
            </w:r>
            <w:r w:rsidRPr="007B1664">
              <w:rPr>
                <w:rFonts w:ascii="Times New Roman" w:hAnsi="Times New Roman"/>
                <w:bCs/>
              </w:rPr>
              <w:t>033.</w:t>
            </w:r>
          </w:p>
          <w:p w14:paraId="721CDA6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O montante comunicado nesta célula deve ter em conta o disposto no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3, do Regulamento (UE) 2019/2033.</w:t>
            </w:r>
          </w:p>
        </w:tc>
      </w:tr>
      <w:tr w:rsidR="000B1B99" w:rsidRPr="007B1664" w14:paraId="0F994B51" w14:textId="77777777">
        <w:tc>
          <w:tcPr>
            <w:tcW w:w="1129" w:type="dxa"/>
          </w:tcPr>
          <w:p w14:paraId="267DF27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CB956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Fluxo diário de negociação total - Transações de derivados (montantes médios)</w:t>
            </w:r>
          </w:p>
          <w:p w14:paraId="452F3F8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2, alínea b), do </w:t>
            </w:r>
            <w:r w:rsidRPr="007B1664">
              <w:rPr>
                <w:rFonts w:ascii="Times New Roman" w:hAnsi="Times New Roman"/>
                <w:bCs/>
              </w:rPr>
              <w:t>Regulamento (UE) 2019/2033.</w:t>
            </w:r>
          </w:p>
          <w:p w14:paraId="40A5C15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As empresas de investimento devem comunicar a média aritmética do DTF - transações em derivados dos seis meses restantes, de acordo com 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primeiro parágrafo, do Regulamento (UE) 2019/2033, devendo ser calcula</w:t>
            </w:r>
            <w:r w:rsidRPr="007B1664">
              <w:rPr>
                <w:rFonts w:ascii="Times New Roman" w:hAnsi="Times New Roman"/>
                <w:bCs/>
              </w:rPr>
              <w:t>da nos termos do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b), do Regulamento (UE) 2019/2033.</w:t>
            </w:r>
          </w:p>
          <w:p w14:paraId="31F7EF04" w14:textId="77777777" w:rsidR="000B1B99" w:rsidRPr="007B1664" w:rsidRDefault="007B1664">
            <w:pPr>
              <w:spacing w:after="120" w:line="240" w:lineRule="auto"/>
              <w:jc w:val="both"/>
              <w:rPr>
                <w:rFonts w:ascii="Times New Roman" w:eastAsia="Times New Roman" w:hAnsi="Times New Roman" w:cs="Times New Roman"/>
                <w:bCs/>
                <w:u w:val="single"/>
              </w:rPr>
            </w:pPr>
            <w:r w:rsidRPr="007B1664">
              <w:rPr>
                <w:rFonts w:ascii="Times New Roman" w:hAnsi="Times New Roman"/>
                <w:bCs/>
              </w:rPr>
              <w:t>O montante comunicado nesta célula deve ter em conta o disposto no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3, do Regulamento (UE) 2019/2033.</w:t>
            </w:r>
          </w:p>
        </w:tc>
      </w:tr>
    </w:tbl>
    <w:p w14:paraId="06EB1442" w14:textId="77777777" w:rsidR="000B1B99" w:rsidRPr="007B1664" w:rsidRDefault="000B1B99">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3AB73CA7" w14:textId="77777777">
        <w:tc>
          <w:tcPr>
            <w:tcW w:w="1129" w:type="dxa"/>
            <w:shd w:val="clear" w:color="auto" w:fill="D9D9D9"/>
          </w:tcPr>
          <w:p w14:paraId="0374D370"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4"/>
              </w:rPr>
              <w:t>Colunas</w:t>
            </w:r>
          </w:p>
        </w:tc>
        <w:tc>
          <w:tcPr>
            <w:tcW w:w="7620" w:type="dxa"/>
            <w:shd w:val="clear" w:color="auto" w:fill="D9D9D9"/>
          </w:tcPr>
          <w:p w14:paraId="33E030A7"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4"/>
              </w:rPr>
              <w:t>Referências jurídicas e instruções</w:t>
            </w:r>
          </w:p>
        </w:tc>
      </w:tr>
      <w:tr w:rsidR="000B1B99" w:rsidRPr="007B1664" w14:paraId="7622660B" w14:textId="77777777">
        <w:tc>
          <w:tcPr>
            <w:tcW w:w="1129" w:type="dxa"/>
          </w:tcPr>
          <w:p w14:paraId="229E9F2C"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0010</w:t>
            </w:r>
          </w:p>
        </w:tc>
        <w:tc>
          <w:tcPr>
            <w:tcW w:w="7620" w:type="dxa"/>
          </w:tcPr>
          <w:p w14:paraId="3A4D1FEB"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Montante médio dos fatores - Mês t</w:t>
            </w:r>
          </w:p>
          <w:p w14:paraId="3BCE5868"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Valor de DTF no final do terceiro mês (ou seja, o mês mais recente) do trimestre a que o relatório se refere.</w:t>
            </w:r>
          </w:p>
        </w:tc>
      </w:tr>
      <w:tr w:rsidR="000B1B99" w:rsidRPr="007B1664" w14:paraId="78909FA5" w14:textId="77777777">
        <w:tc>
          <w:tcPr>
            <w:tcW w:w="1129" w:type="dxa"/>
          </w:tcPr>
          <w:p w14:paraId="20B1B327"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0020</w:t>
            </w:r>
          </w:p>
        </w:tc>
        <w:tc>
          <w:tcPr>
            <w:tcW w:w="7620" w:type="dxa"/>
          </w:tcPr>
          <w:p w14:paraId="5C329C15"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Montante médio dos fatores - Mês t-1</w:t>
            </w:r>
          </w:p>
          <w:p w14:paraId="1C9AC552"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Cs/>
                <w:szCs w:val="24"/>
              </w:rPr>
              <w:t xml:space="preserve">Valor de DTF no final do segundo mês do trimestre a que o relatório </w:t>
            </w:r>
            <w:r w:rsidRPr="007B1664">
              <w:rPr>
                <w:rFonts w:ascii="Times New Roman" w:hAnsi="Times New Roman"/>
                <w:bCs/>
                <w:szCs w:val="24"/>
              </w:rPr>
              <w:t>se refere.</w:t>
            </w:r>
          </w:p>
        </w:tc>
      </w:tr>
      <w:tr w:rsidR="000B1B99" w:rsidRPr="007B1664" w14:paraId="6065D19A" w14:textId="77777777">
        <w:tc>
          <w:tcPr>
            <w:tcW w:w="1129" w:type="dxa"/>
          </w:tcPr>
          <w:p w14:paraId="5F497A5F"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0030</w:t>
            </w:r>
          </w:p>
        </w:tc>
        <w:tc>
          <w:tcPr>
            <w:tcW w:w="7620" w:type="dxa"/>
          </w:tcPr>
          <w:p w14:paraId="20E86B0D"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Montante médio dos fatores - Mês t-2</w:t>
            </w:r>
          </w:p>
          <w:p w14:paraId="0F5F91B7"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Cs/>
                <w:szCs w:val="24"/>
              </w:rPr>
              <w:t>Valor de DTF no final do primeiro mês do trimestre a que o relatório se refere.</w:t>
            </w:r>
          </w:p>
        </w:tc>
      </w:tr>
    </w:tbl>
    <w:p w14:paraId="3D26DCA8" w14:textId="77777777" w:rsidR="000B1B99" w:rsidRPr="007B1664" w:rsidRDefault="000B1B99">
      <w:pPr>
        <w:rPr>
          <w:rFonts w:ascii="Times New Roman" w:eastAsia="Arial" w:hAnsi="Times New Roman" w:cs="Times New Roman"/>
          <w:sz w:val="24"/>
          <w:szCs w:val="24"/>
          <w:u w:val="single"/>
        </w:rPr>
      </w:pPr>
    </w:p>
    <w:p w14:paraId="16EBFF76" w14:textId="77777777" w:rsidR="000B1B99" w:rsidRPr="007B1664" w:rsidRDefault="007B166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247700"/>
      <w:r w:rsidRPr="007B1664">
        <w:rPr>
          <w:rFonts w:ascii="Times New Roman" w:hAnsi="Times New Roman"/>
          <w:sz w:val="24"/>
          <w:szCs w:val="24"/>
          <w:u w:val="single"/>
        </w:rPr>
        <w:t>3.14. I 06.13 – VALOR MÉDIO DOS TOTAIS DE FLUXOS DIÁRIOS DE NEGOCIAÇÃO (I 6.13)</w:t>
      </w:r>
      <w:bookmarkEnd w:id="80"/>
    </w:p>
    <w:p w14:paraId="76B410F4" w14:textId="77777777" w:rsidR="000B1B99" w:rsidRPr="007B1664" w:rsidRDefault="007B1664">
      <w:pPr>
        <w:pStyle w:val="Instructionsberschrift2"/>
        <w:ind w:left="357" w:hanging="215"/>
        <w:rPr>
          <w:rFonts w:ascii="Times New Roman" w:hAnsi="Times New Roman" w:cs="Times New Roman"/>
          <w:sz w:val="24"/>
        </w:rPr>
      </w:pPr>
      <w:bookmarkStart w:id="81" w:name="_Toc88247701"/>
      <w:r w:rsidRPr="007B1664">
        <w:rPr>
          <w:rFonts w:ascii="Times New Roman" w:hAnsi="Times New Roman"/>
          <w:sz w:val="24"/>
          <w:u w:val="none"/>
        </w:rPr>
        <w:t xml:space="preserve">3.14.1. </w:t>
      </w:r>
      <w:r w:rsidRPr="007B1664">
        <w:rPr>
          <w:rFonts w:ascii="Times New Roman" w:hAnsi="Times New Roman"/>
          <w:sz w:val="24"/>
        </w:rPr>
        <w:t xml:space="preserve">Instruções relativas a </w:t>
      </w:r>
      <w:r w:rsidRPr="007B1664">
        <w:rPr>
          <w:rFonts w:ascii="Times New Roman" w:hAnsi="Times New Roman"/>
          <w:sz w:val="24"/>
        </w:rPr>
        <w:t>posições específicas</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529D85B1" w14:textId="77777777">
        <w:tc>
          <w:tcPr>
            <w:tcW w:w="1129" w:type="dxa"/>
            <w:shd w:val="clear" w:color="auto" w:fill="D9D9D9"/>
          </w:tcPr>
          <w:p w14:paraId="74FB5E98"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4"/>
              </w:rPr>
              <w:t>Linha</w:t>
            </w:r>
          </w:p>
        </w:tc>
        <w:tc>
          <w:tcPr>
            <w:tcW w:w="7620" w:type="dxa"/>
            <w:shd w:val="clear" w:color="auto" w:fill="D9D9D9"/>
          </w:tcPr>
          <w:p w14:paraId="6A68D418"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4"/>
              </w:rPr>
              <w:t>Referências jurídicas e instruções</w:t>
            </w:r>
          </w:p>
        </w:tc>
      </w:tr>
      <w:tr w:rsidR="000B1B99" w:rsidRPr="007B1664" w14:paraId="29DFA15E" w14:textId="77777777">
        <w:tc>
          <w:tcPr>
            <w:tcW w:w="1129" w:type="dxa"/>
          </w:tcPr>
          <w:p w14:paraId="001EC380"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73EC411"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Fluxo diário de negociação - transações em numerário</w:t>
            </w:r>
          </w:p>
          <w:p w14:paraId="7DF48D5A"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rPr>
              <w:t>O valor médio do total de fluxos diários de negociação (valor em numerário) do mês em causa, como referido no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do </w:t>
            </w:r>
            <w:r w:rsidRPr="007B1664">
              <w:rPr>
                <w:rFonts w:ascii="Times New Roman" w:hAnsi="Times New Roman"/>
                <w:bCs/>
              </w:rPr>
              <w:t>Regulamento (UE) 2019/2033, devendo ser calculado nos termos do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a), do Regulamento (UE) 2019/2033.</w:t>
            </w:r>
          </w:p>
        </w:tc>
      </w:tr>
      <w:tr w:rsidR="000B1B99" w:rsidRPr="007B1664" w14:paraId="7D0D3D8F" w14:textId="77777777">
        <w:tc>
          <w:tcPr>
            <w:tcW w:w="1129" w:type="dxa"/>
          </w:tcPr>
          <w:p w14:paraId="033E6DBE"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04B64B"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Fluxo diário de negociação - transações de derivados</w:t>
            </w:r>
          </w:p>
          <w:p w14:paraId="08D20B6E" w14:textId="77777777" w:rsidR="000B1B99" w:rsidRPr="007B1664" w:rsidRDefault="007B1664">
            <w:pPr>
              <w:spacing w:after="120" w:line="240" w:lineRule="auto"/>
              <w:jc w:val="both"/>
              <w:rPr>
                <w:rFonts w:ascii="Times New Roman" w:eastAsia="Times New Roman" w:hAnsi="Times New Roman" w:cs="Times New Roman"/>
                <w:bCs/>
                <w:szCs w:val="24"/>
                <w:u w:val="single"/>
              </w:rPr>
            </w:pPr>
            <w:r w:rsidRPr="007B1664">
              <w:rPr>
                <w:rFonts w:ascii="Times New Roman" w:hAnsi="Times New Roman"/>
                <w:bCs/>
              </w:rPr>
              <w:t xml:space="preserve">O valor médio do total de fluxos diários de negociação </w:t>
            </w:r>
            <w:r w:rsidRPr="007B1664">
              <w:rPr>
                <w:rFonts w:ascii="Times New Roman" w:hAnsi="Times New Roman"/>
                <w:bCs/>
              </w:rPr>
              <w:t>(transações em derivados) do mês em causa, como referido no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 devendo ser calculado nos termos do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b), do Regulamento (UE) 2019/2033.</w:t>
            </w:r>
          </w:p>
        </w:tc>
      </w:tr>
    </w:tbl>
    <w:p w14:paraId="7FFF9A40" w14:textId="77777777" w:rsidR="000B1B99" w:rsidRPr="007B1664" w:rsidRDefault="000B1B99">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61EE34BF" w14:textId="77777777">
        <w:tc>
          <w:tcPr>
            <w:tcW w:w="1129" w:type="dxa"/>
            <w:shd w:val="clear" w:color="auto" w:fill="D9D9D9"/>
          </w:tcPr>
          <w:p w14:paraId="0BCD739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63D79EA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 xml:space="preserve">Referências jurídicas e </w:t>
            </w:r>
            <w:r w:rsidRPr="007B1664">
              <w:rPr>
                <w:rFonts w:ascii="Times New Roman" w:hAnsi="Times New Roman"/>
              </w:rPr>
              <w:t>instruções</w:t>
            </w:r>
          </w:p>
        </w:tc>
      </w:tr>
      <w:tr w:rsidR="000B1B99" w:rsidRPr="007B1664" w14:paraId="1092CA62" w14:textId="77777777">
        <w:tc>
          <w:tcPr>
            <w:tcW w:w="1129" w:type="dxa"/>
          </w:tcPr>
          <w:p w14:paraId="0A6A798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0010-0080</w:t>
            </w:r>
          </w:p>
        </w:tc>
        <w:tc>
          <w:tcPr>
            <w:tcW w:w="7620" w:type="dxa"/>
          </w:tcPr>
          <w:p w14:paraId="31C5DAD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Médias mensais dos valores diários totais dos fluxos de negociação</w:t>
            </w:r>
          </w:p>
          <w:p w14:paraId="0E69EC1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As empresas de investimento devem comunicar em cada coluna mensal em causa o valor médio mensal do total de fluxos diários de negociação calculados ao longo de </w:t>
            </w:r>
            <w:r w:rsidRPr="007B1664">
              <w:rPr>
                <w:rFonts w:ascii="Times New Roman" w:hAnsi="Times New Roman"/>
                <w:bCs/>
              </w:rPr>
              <w:t>cada dia útil, em conformidade com o artigo 33.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bl>
    <w:p w14:paraId="6A6AC287" w14:textId="77777777" w:rsidR="000B1B99" w:rsidRPr="007B1664" w:rsidRDefault="000B1B99">
      <w:pPr>
        <w:rPr>
          <w:rFonts w:ascii="Times New Roman" w:eastAsia="Arial" w:hAnsi="Times New Roman" w:cs="Times New Roman"/>
          <w:sz w:val="24"/>
          <w:szCs w:val="24"/>
          <w:u w:val="single"/>
        </w:rPr>
      </w:pPr>
    </w:p>
    <w:p w14:paraId="1CB5A656" w14:textId="77777777" w:rsidR="000B1B99" w:rsidRPr="007B1664" w:rsidRDefault="007B1664">
      <w:pPr>
        <w:pStyle w:val="Instructionsberschrift2"/>
        <w:ind w:left="357" w:hanging="357"/>
        <w:rPr>
          <w:rFonts w:ascii="Times New Roman" w:hAnsi="Times New Roman" w:cs="Times New Roman"/>
          <w:b/>
          <w:sz w:val="24"/>
          <w:u w:val="none"/>
        </w:rPr>
      </w:pPr>
      <w:bookmarkStart w:id="82" w:name="_Toc88247702"/>
      <w:r w:rsidRPr="007B1664">
        <w:rPr>
          <w:rFonts w:ascii="Times New Roman" w:hAnsi="Times New Roman"/>
          <w:b/>
          <w:sz w:val="24"/>
          <w:u w:val="none"/>
        </w:rPr>
        <w:lastRenderedPageBreak/>
        <w:t>4. COMUNICAÇÃO DE INFORMAÇÕES SOBRE O RISCO DE CONCENTRAÇÃO</w:t>
      </w:r>
      <w:bookmarkEnd w:id="82"/>
    </w:p>
    <w:p w14:paraId="7FBAFD4A" w14:textId="77777777" w:rsidR="000B1B99" w:rsidRPr="007B1664" w:rsidRDefault="007B1664">
      <w:pPr>
        <w:pStyle w:val="Instructionsberschrift2"/>
        <w:ind w:left="357" w:hanging="357"/>
        <w:rPr>
          <w:rFonts w:ascii="Times New Roman" w:hAnsi="Times New Roman" w:cs="Times New Roman"/>
          <w:sz w:val="24"/>
        </w:rPr>
      </w:pPr>
      <w:bookmarkStart w:id="83" w:name="_Toc88247703"/>
      <w:r w:rsidRPr="007B1664">
        <w:rPr>
          <w:rFonts w:ascii="Times New Roman" w:hAnsi="Times New Roman"/>
          <w:sz w:val="24"/>
        </w:rPr>
        <w:t>4.1. Observações gerais</w:t>
      </w:r>
      <w:bookmarkEnd w:id="83"/>
    </w:p>
    <w:p w14:paraId="43940E19" w14:textId="77777777" w:rsidR="000B1B99" w:rsidRPr="007B1664" w:rsidRDefault="007B1664">
      <w:pPr>
        <w:spacing w:line="256" w:lineRule="auto"/>
        <w:ind w:left="993" w:hanging="567"/>
        <w:jc w:val="both"/>
        <w:rPr>
          <w:rFonts w:ascii="Times New Roman" w:hAnsi="Times New Roman" w:cs="Times New Roman"/>
          <w:sz w:val="24"/>
        </w:rPr>
      </w:pPr>
      <w:r w:rsidRPr="007B1664">
        <w:rPr>
          <w:rFonts w:ascii="Times New Roman" w:hAnsi="Times New Roman" w:cs="Times New Roman"/>
          <w:sz w:val="24"/>
        </w:rPr>
        <w:t>16.</w:t>
      </w:r>
      <w:r w:rsidRPr="007B1664">
        <w:rPr>
          <w:rFonts w:ascii="Times New Roman" w:hAnsi="Times New Roman" w:cs="Times New Roman"/>
          <w:sz w:val="24"/>
        </w:rPr>
        <w:tab/>
      </w:r>
      <w:r w:rsidRPr="007B1664">
        <w:rPr>
          <w:rFonts w:ascii="Times New Roman" w:hAnsi="Times New Roman"/>
          <w:sz w:val="24"/>
        </w:rPr>
        <w:t>A comunicação de informações sobre o risco de concentração contém informações sobre os riscos de concentração a que uma empresa de investimento está exposta através das suas posições da carteira de negociação devido ao incumprimento de contrapartes. Tal co</w:t>
      </w:r>
      <w:r w:rsidRPr="007B1664">
        <w:rPr>
          <w:rFonts w:ascii="Times New Roman" w:hAnsi="Times New Roman"/>
          <w:sz w:val="24"/>
        </w:rPr>
        <w:t xml:space="preserve">nduz ao cálculo de K-CON, um requisito adicional de fundos próprios devido às exposições que a empresa de investimento tem no seu balanço. </w:t>
      </w:r>
      <w:r w:rsidRPr="007B1664">
        <w:rPr>
          <w:rFonts w:ascii="Times New Roman" w:hAnsi="Times New Roman"/>
        </w:rPr>
        <w:t>Tal está em conformidade com a definição de «risco de concentração» constante do artigo 4.</w:t>
      </w:r>
      <w:r w:rsidRPr="007B1664">
        <w:rPr>
          <w:rFonts w:ascii="Times New Roman" w:hAnsi="Times New Roman"/>
          <w:vertAlign w:val="superscript"/>
        </w:rPr>
        <w:t>o</w:t>
      </w:r>
      <w:r w:rsidRPr="007B1664">
        <w:rPr>
          <w:rFonts w:ascii="Times New Roman" w:hAnsi="Times New Roman"/>
        </w:rPr>
        <w:t>, n.</w:t>
      </w:r>
      <w:r w:rsidRPr="007B1664">
        <w:rPr>
          <w:rFonts w:ascii="Times New Roman" w:hAnsi="Times New Roman"/>
          <w:vertAlign w:val="superscript"/>
        </w:rPr>
        <w:t>o</w:t>
      </w:r>
      <w:r w:rsidRPr="007B1664">
        <w:rPr>
          <w:rFonts w:ascii="Times New Roman" w:hAnsi="Times New Roman"/>
        </w:rPr>
        <w:t> 1, ponto 31, do Regu</w:t>
      </w:r>
      <w:r w:rsidRPr="007B1664">
        <w:rPr>
          <w:rFonts w:ascii="Times New Roman" w:hAnsi="Times New Roman"/>
        </w:rPr>
        <w:t>lamento (UE) 2019/2033, em que:</w:t>
      </w:r>
      <w:r w:rsidRPr="007B1664">
        <w:rPr>
          <w:rFonts w:ascii="Times New Roman" w:hAnsi="Times New Roman"/>
          <w:sz w:val="24"/>
        </w:rPr>
        <w:t xml:space="preserve"> «risco de concentração» ou «CON»: as exposições na carteira de negociação de uma empresa de investimento sobre um cliente ou grupo de clientes ligados entre si, cujo valor excede os limites fixados no artigo 37.</w:t>
      </w:r>
      <w:r w:rsidRPr="007B1664">
        <w:rPr>
          <w:rFonts w:ascii="Times New Roman" w:hAnsi="Times New Roman"/>
          <w:sz w:val="24"/>
          <w:vertAlign w:val="superscript"/>
        </w:rPr>
        <w:t>o</w:t>
      </w:r>
      <w:r w:rsidRPr="007B1664">
        <w:rPr>
          <w:rFonts w:ascii="Times New Roman" w:hAnsi="Times New Roman"/>
          <w:sz w:val="24"/>
        </w:rPr>
        <w:t>, n.</w:t>
      </w:r>
      <w:r w:rsidRPr="007B1664">
        <w:rPr>
          <w:rFonts w:ascii="Times New Roman" w:hAnsi="Times New Roman"/>
          <w:sz w:val="24"/>
          <w:vertAlign w:val="superscript"/>
        </w:rPr>
        <w:t>o</w:t>
      </w:r>
      <w:r w:rsidRPr="007B1664">
        <w:rPr>
          <w:rFonts w:ascii="Times New Roman" w:hAnsi="Times New Roman"/>
          <w:sz w:val="24"/>
        </w:rPr>
        <w:t> 1.</w:t>
      </w:r>
    </w:p>
    <w:p w14:paraId="21EDA5A2" w14:textId="77777777" w:rsidR="000B1B99" w:rsidRPr="007B1664" w:rsidRDefault="007B1664">
      <w:pPr>
        <w:spacing w:line="256" w:lineRule="auto"/>
        <w:ind w:left="993" w:hanging="567"/>
        <w:jc w:val="both"/>
        <w:rPr>
          <w:rFonts w:ascii="Times New Roman" w:hAnsi="Times New Roman" w:cs="Times New Roman"/>
          <w:sz w:val="24"/>
        </w:rPr>
      </w:pPr>
      <w:r w:rsidRPr="007B1664">
        <w:rPr>
          <w:rFonts w:ascii="Times New Roman" w:hAnsi="Times New Roman" w:cs="Times New Roman"/>
          <w:sz w:val="24"/>
        </w:rPr>
        <w:t>17.</w:t>
      </w:r>
      <w:r w:rsidRPr="007B1664">
        <w:rPr>
          <w:rFonts w:ascii="Times New Roman" w:hAnsi="Times New Roman" w:cs="Times New Roman"/>
          <w:sz w:val="24"/>
        </w:rPr>
        <w:tab/>
      </w:r>
      <w:r w:rsidRPr="007B1664">
        <w:rPr>
          <w:rFonts w:ascii="Times New Roman" w:hAnsi="Times New Roman"/>
          <w:sz w:val="24"/>
        </w:rPr>
        <w:t>A comunicação de informações sobre o risco de concentração inclui também informações sobre os seguintes aspetos:</w:t>
      </w:r>
    </w:p>
    <w:p w14:paraId="34F7F572" w14:textId="77777777" w:rsidR="000B1B99" w:rsidRPr="007B1664" w:rsidRDefault="007B1664">
      <w:pPr>
        <w:spacing w:after="0" w:line="276" w:lineRule="auto"/>
        <w:ind w:left="2160" w:hanging="180"/>
        <w:jc w:val="both"/>
        <w:rPr>
          <w:rFonts w:ascii="Times New Roman" w:hAnsi="Times New Roman" w:cs="Times New Roman"/>
          <w:sz w:val="24"/>
        </w:rPr>
      </w:pPr>
      <w:r w:rsidRPr="007B1664">
        <w:rPr>
          <w:rFonts w:ascii="Times New Roman" w:hAnsi="Times New Roman" w:cs="Times New Roman"/>
          <w:sz w:val="24"/>
        </w:rPr>
        <w:t>i.</w:t>
      </w:r>
      <w:r w:rsidRPr="007B1664">
        <w:rPr>
          <w:rFonts w:ascii="Times New Roman" w:hAnsi="Times New Roman" w:cs="Times New Roman"/>
          <w:sz w:val="24"/>
        </w:rPr>
        <w:tab/>
      </w:r>
      <w:r w:rsidRPr="007B1664">
        <w:rPr>
          <w:rFonts w:ascii="Times New Roman" w:hAnsi="Times New Roman"/>
          <w:sz w:val="24"/>
        </w:rPr>
        <w:t>Fundos de clientes</w:t>
      </w:r>
    </w:p>
    <w:p w14:paraId="278FD5BB" w14:textId="77777777" w:rsidR="000B1B99" w:rsidRPr="007B1664" w:rsidRDefault="007B1664">
      <w:pPr>
        <w:spacing w:after="0" w:line="276" w:lineRule="auto"/>
        <w:ind w:left="2160" w:hanging="180"/>
        <w:jc w:val="both"/>
        <w:rPr>
          <w:rFonts w:ascii="Times New Roman" w:hAnsi="Times New Roman" w:cs="Times New Roman"/>
          <w:sz w:val="24"/>
        </w:rPr>
      </w:pPr>
      <w:r w:rsidRPr="007B1664">
        <w:rPr>
          <w:rFonts w:ascii="Times New Roman" w:hAnsi="Times New Roman" w:cs="Times New Roman"/>
          <w:sz w:val="24"/>
        </w:rPr>
        <w:t>ii.</w:t>
      </w:r>
      <w:r w:rsidRPr="007B1664">
        <w:rPr>
          <w:rFonts w:ascii="Times New Roman" w:hAnsi="Times New Roman" w:cs="Times New Roman"/>
          <w:sz w:val="24"/>
        </w:rPr>
        <w:tab/>
      </w:r>
      <w:r w:rsidRPr="007B1664">
        <w:rPr>
          <w:rFonts w:ascii="Times New Roman" w:hAnsi="Times New Roman"/>
          <w:sz w:val="24"/>
        </w:rPr>
        <w:t>Ativos de clientes</w:t>
      </w:r>
    </w:p>
    <w:p w14:paraId="54072D11" w14:textId="77777777" w:rsidR="000B1B99" w:rsidRPr="007B1664" w:rsidRDefault="007B1664">
      <w:pPr>
        <w:spacing w:after="0" w:line="276" w:lineRule="auto"/>
        <w:ind w:left="2160" w:hanging="180"/>
        <w:jc w:val="both"/>
        <w:rPr>
          <w:rFonts w:ascii="Times New Roman" w:hAnsi="Times New Roman" w:cs="Times New Roman"/>
          <w:sz w:val="24"/>
        </w:rPr>
      </w:pPr>
      <w:r w:rsidRPr="007B1664">
        <w:rPr>
          <w:rFonts w:ascii="Times New Roman" w:hAnsi="Times New Roman" w:cs="Times New Roman"/>
          <w:sz w:val="24"/>
        </w:rPr>
        <w:t>iii.</w:t>
      </w:r>
      <w:r w:rsidRPr="007B1664">
        <w:rPr>
          <w:rFonts w:ascii="Times New Roman" w:hAnsi="Times New Roman" w:cs="Times New Roman"/>
          <w:sz w:val="24"/>
        </w:rPr>
        <w:tab/>
      </w:r>
      <w:r w:rsidRPr="007B1664">
        <w:rPr>
          <w:rFonts w:ascii="Times New Roman" w:hAnsi="Times New Roman"/>
          <w:sz w:val="24"/>
        </w:rPr>
        <w:t>Numerário da empresa</w:t>
      </w:r>
    </w:p>
    <w:p w14:paraId="3258BF9E" w14:textId="77777777" w:rsidR="000B1B99" w:rsidRPr="007B1664" w:rsidRDefault="007B1664">
      <w:pPr>
        <w:spacing w:after="0" w:line="276" w:lineRule="auto"/>
        <w:ind w:left="2160" w:hanging="180"/>
        <w:jc w:val="both"/>
        <w:rPr>
          <w:rFonts w:ascii="Times New Roman" w:hAnsi="Times New Roman" w:cs="Times New Roman"/>
          <w:sz w:val="24"/>
        </w:rPr>
      </w:pPr>
      <w:r w:rsidRPr="007B1664">
        <w:rPr>
          <w:rFonts w:ascii="Times New Roman" w:hAnsi="Times New Roman" w:cs="Times New Roman"/>
          <w:sz w:val="24"/>
        </w:rPr>
        <w:t>iv.</w:t>
      </w:r>
      <w:r w:rsidRPr="007B1664">
        <w:rPr>
          <w:rFonts w:ascii="Times New Roman" w:hAnsi="Times New Roman" w:cs="Times New Roman"/>
          <w:sz w:val="24"/>
        </w:rPr>
        <w:tab/>
      </w:r>
      <w:r w:rsidRPr="007B1664">
        <w:rPr>
          <w:rFonts w:ascii="Times New Roman" w:hAnsi="Times New Roman"/>
          <w:sz w:val="24"/>
        </w:rPr>
        <w:t>Receitas dos clientes</w:t>
      </w:r>
    </w:p>
    <w:p w14:paraId="11BBCD18" w14:textId="77777777" w:rsidR="000B1B99" w:rsidRPr="007B1664" w:rsidRDefault="007B1664">
      <w:pPr>
        <w:spacing w:after="0" w:line="276" w:lineRule="auto"/>
        <w:ind w:left="2160" w:hanging="180"/>
        <w:jc w:val="both"/>
        <w:rPr>
          <w:rFonts w:ascii="Times New Roman" w:hAnsi="Times New Roman" w:cs="Times New Roman"/>
          <w:sz w:val="24"/>
        </w:rPr>
      </w:pPr>
      <w:r w:rsidRPr="007B1664">
        <w:rPr>
          <w:rFonts w:ascii="Times New Roman" w:hAnsi="Times New Roman" w:cs="Times New Roman"/>
          <w:sz w:val="24"/>
        </w:rPr>
        <w:t>v.</w:t>
      </w:r>
      <w:r w:rsidRPr="007B1664">
        <w:rPr>
          <w:rFonts w:ascii="Times New Roman" w:hAnsi="Times New Roman" w:cs="Times New Roman"/>
          <w:sz w:val="24"/>
        </w:rPr>
        <w:tab/>
      </w:r>
      <w:r w:rsidRPr="007B1664">
        <w:rPr>
          <w:rFonts w:ascii="Times New Roman" w:hAnsi="Times New Roman"/>
          <w:sz w:val="24"/>
        </w:rPr>
        <w:t>Posições da carteira de negociação</w:t>
      </w:r>
    </w:p>
    <w:p w14:paraId="6CB7CA23" w14:textId="77777777" w:rsidR="000B1B99" w:rsidRPr="007B1664" w:rsidRDefault="007B1664">
      <w:pPr>
        <w:spacing w:after="0" w:line="276" w:lineRule="auto"/>
        <w:ind w:left="2160" w:hanging="180"/>
        <w:jc w:val="both"/>
        <w:rPr>
          <w:rFonts w:ascii="Times New Roman" w:hAnsi="Times New Roman" w:cs="Times New Roman"/>
          <w:sz w:val="24"/>
        </w:rPr>
      </w:pPr>
      <w:r w:rsidRPr="007B1664">
        <w:rPr>
          <w:rFonts w:ascii="Times New Roman" w:hAnsi="Times New Roman" w:cs="Times New Roman"/>
          <w:sz w:val="24"/>
        </w:rPr>
        <w:t>vi.</w:t>
      </w:r>
      <w:r w:rsidRPr="007B1664">
        <w:rPr>
          <w:rFonts w:ascii="Times New Roman" w:hAnsi="Times New Roman" w:cs="Times New Roman"/>
          <w:sz w:val="24"/>
        </w:rPr>
        <w:tab/>
      </w:r>
      <w:r w:rsidRPr="007B1664">
        <w:rPr>
          <w:rFonts w:ascii="Times New Roman" w:hAnsi="Times New Roman"/>
          <w:sz w:val="24"/>
        </w:rPr>
        <w:t>Exp</w:t>
      </w:r>
      <w:r w:rsidRPr="007B1664">
        <w:rPr>
          <w:rFonts w:ascii="Times New Roman" w:hAnsi="Times New Roman"/>
          <w:sz w:val="24"/>
        </w:rPr>
        <w:t>osições calculadas tendo em conta ativos e elementos extrapatrimoniais não registados na carteira de negociação.</w:t>
      </w:r>
    </w:p>
    <w:p w14:paraId="61D2984C" w14:textId="77777777" w:rsidR="000B1B99" w:rsidRPr="007B1664" w:rsidRDefault="007B1664">
      <w:pPr>
        <w:spacing w:line="256" w:lineRule="auto"/>
        <w:ind w:left="993" w:hanging="567"/>
        <w:jc w:val="both"/>
        <w:rPr>
          <w:rFonts w:ascii="Times New Roman" w:hAnsi="Times New Roman" w:cs="Times New Roman"/>
          <w:sz w:val="24"/>
        </w:rPr>
      </w:pPr>
      <w:r w:rsidRPr="007B1664">
        <w:rPr>
          <w:rFonts w:ascii="Times New Roman" w:hAnsi="Times New Roman" w:cs="Times New Roman"/>
          <w:sz w:val="24"/>
        </w:rPr>
        <w:t>18.</w:t>
      </w:r>
      <w:r w:rsidRPr="007B1664">
        <w:rPr>
          <w:rFonts w:ascii="Times New Roman" w:hAnsi="Times New Roman" w:cs="Times New Roman"/>
          <w:sz w:val="24"/>
        </w:rPr>
        <w:tab/>
      </w:r>
      <w:r w:rsidRPr="007B1664">
        <w:rPr>
          <w:rFonts w:ascii="Times New Roman" w:hAnsi="Times New Roman"/>
          <w:sz w:val="24"/>
        </w:rPr>
        <w:t>Embora o disposto no artigo 54.</w:t>
      </w:r>
      <w:r w:rsidRPr="007B1664">
        <w:rPr>
          <w:rFonts w:ascii="Times New Roman" w:hAnsi="Times New Roman"/>
          <w:sz w:val="24"/>
          <w:vertAlign w:val="superscript"/>
        </w:rPr>
        <w:t>o</w:t>
      </w:r>
      <w:r w:rsidRPr="007B1664">
        <w:rPr>
          <w:rFonts w:ascii="Times New Roman" w:hAnsi="Times New Roman"/>
          <w:sz w:val="24"/>
        </w:rPr>
        <w:t>, n.</w:t>
      </w:r>
      <w:r w:rsidRPr="007B1664">
        <w:rPr>
          <w:rFonts w:ascii="Times New Roman" w:hAnsi="Times New Roman"/>
          <w:sz w:val="24"/>
          <w:vertAlign w:val="superscript"/>
        </w:rPr>
        <w:t>o</w:t>
      </w:r>
      <w:r w:rsidRPr="007B1664">
        <w:rPr>
          <w:rFonts w:ascii="Times New Roman" w:hAnsi="Times New Roman"/>
          <w:sz w:val="24"/>
        </w:rPr>
        <w:t xml:space="preserve"> 2, </w:t>
      </w:r>
      <w:r w:rsidRPr="007B1664">
        <w:rPr>
          <w:rFonts w:ascii="Times New Roman" w:hAnsi="Times New Roman"/>
          <w:bCs/>
        </w:rPr>
        <w:t xml:space="preserve">do </w:t>
      </w:r>
      <w:r w:rsidRPr="007B1664">
        <w:rPr>
          <w:rFonts w:ascii="Times New Roman" w:hAnsi="Times New Roman"/>
          <w:sz w:val="24"/>
        </w:rPr>
        <w:t>Regulamento (UE) 2019/2033 se refira também ao «risco de concentração», a sua definição constan</w:t>
      </w:r>
      <w:r w:rsidRPr="007B1664">
        <w:rPr>
          <w:rFonts w:ascii="Times New Roman" w:hAnsi="Times New Roman"/>
          <w:sz w:val="24"/>
        </w:rPr>
        <w:t>te do artigo 4.</w:t>
      </w:r>
      <w:r w:rsidRPr="007B1664">
        <w:rPr>
          <w:rFonts w:ascii="Times New Roman" w:hAnsi="Times New Roman"/>
          <w:sz w:val="24"/>
          <w:vertAlign w:val="superscript"/>
        </w:rPr>
        <w:t>o</w:t>
      </w:r>
      <w:r w:rsidRPr="007B1664">
        <w:rPr>
          <w:rFonts w:ascii="Times New Roman" w:hAnsi="Times New Roman"/>
          <w:sz w:val="24"/>
        </w:rPr>
        <w:t>, n.</w:t>
      </w:r>
      <w:r w:rsidRPr="007B1664">
        <w:rPr>
          <w:rFonts w:ascii="Times New Roman" w:hAnsi="Times New Roman"/>
          <w:sz w:val="24"/>
          <w:vertAlign w:val="superscript"/>
        </w:rPr>
        <w:t>o</w:t>
      </w:r>
      <w:r w:rsidRPr="007B1664">
        <w:rPr>
          <w:rFonts w:ascii="Times New Roman" w:hAnsi="Times New Roman"/>
          <w:sz w:val="24"/>
        </w:rPr>
        <w:t xml:space="preserve"> 1, ponto 31, </w:t>
      </w:r>
      <w:r w:rsidRPr="007B1664">
        <w:rPr>
          <w:rFonts w:ascii="Times New Roman" w:hAnsi="Times New Roman"/>
          <w:bCs/>
        </w:rPr>
        <w:t xml:space="preserve">do </w:t>
      </w:r>
      <w:r w:rsidRPr="007B1664">
        <w:rPr>
          <w:rFonts w:ascii="Times New Roman" w:hAnsi="Times New Roman"/>
          <w:sz w:val="24"/>
        </w:rPr>
        <w:t>Regulamento (UE) 2019/2033 e os limites estabelecidos no artigo 37.</w:t>
      </w:r>
      <w:r w:rsidRPr="007B1664">
        <w:rPr>
          <w:rFonts w:ascii="Times New Roman" w:hAnsi="Times New Roman"/>
          <w:sz w:val="24"/>
          <w:vertAlign w:val="superscript"/>
        </w:rPr>
        <w:t>o</w:t>
      </w:r>
      <w:r w:rsidRPr="007B1664">
        <w:rPr>
          <w:rFonts w:ascii="Times New Roman" w:hAnsi="Times New Roman"/>
          <w:sz w:val="24"/>
        </w:rPr>
        <w:t>, n.</w:t>
      </w:r>
      <w:r w:rsidRPr="007B1664">
        <w:rPr>
          <w:rFonts w:ascii="Times New Roman" w:hAnsi="Times New Roman"/>
          <w:sz w:val="24"/>
          <w:vertAlign w:val="superscript"/>
        </w:rPr>
        <w:t>o</w:t>
      </w:r>
      <w:r w:rsidRPr="007B1664">
        <w:rPr>
          <w:rFonts w:ascii="Times New Roman" w:hAnsi="Times New Roman"/>
          <w:sz w:val="24"/>
        </w:rPr>
        <w:t xml:space="preserve"> 1, </w:t>
      </w:r>
      <w:r w:rsidRPr="007B1664">
        <w:rPr>
          <w:rFonts w:ascii="Times New Roman" w:hAnsi="Times New Roman"/>
          <w:bCs/>
        </w:rPr>
        <w:t xml:space="preserve">do </w:t>
      </w:r>
      <w:r w:rsidRPr="007B1664">
        <w:rPr>
          <w:rFonts w:ascii="Times New Roman" w:hAnsi="Times New Roman"/>
          <w:sz w:val="24"/>
        </w:rPr>
        <w:t>Regulamento (UE) 2019/2033 não são compatíveis com os elementos descritos no artigo 54.</w:t>
      </w:r>
      <w:r w:rsidRPr="007B1664">
        <w:rPr>
          <w:rFonts w:ascii="Times New Roman" w:hAnsi="Times New Roman"/>
          <w:sz w:val="24"/>
          <w:vertAlign w:val="superscript"/>
        </w:rPr>
        <w:t>o</w:t>
      </w:r>
      <w:r w:rsidRPr="007B1664">
        <w:rPr>
          <w:rFonts w:ascii="Times New Roman" w:hAnsi="Times New Roman"/>
          <w:sz w:val="24"/>
        </w:rPr>
        <w:t>, n.</w:t>
      </w:r>
      <w:r w:rsidRPr="007B1664">
        <w:rPr>
          <w:rFonts w:ascii="Times New Roman" w:hAnsi="Times New Roman"/>
          <w:sz w:val="24"/>
          <w:vertAlign w:val="superscript"/>
        </w:rPr>
        <w:t>o</w:t>
      </w:r>
      <w:r w:rsidRPr="007B1664">
        <w:rPr>
          <w:rFonts w:ascii="Times New Roman" w:hAnsi="Times New Roman"/>
          <w:sz w:val="24"/>
        </w:rPr>
        <w:t xml:space="preserve"> 2, alíneas b) a e), </w:t>
      </w:r>
      <w:r w:rsidRPr="007B1664">
        <w:rPr>
          <w:rFonts w:ascii="Times New Roman" w:hAnsi="Times New Roman"/>
          <w:bCs/>
        </w:rPr>
        <w:t xml:space="preserve">do </w:t>
      </w:r>
      <w:r w:rsidRPr="007B1664">
        <w:rPr>
          <w:rFonts w:ascii="Times New Roman" w:hAnsi="Times New Roman"/>
          <w:sz w:val="24"/>
        </w:rPr>
        <w:t>Regulamento (UE) 2019</w:t>
      </w:r>
      <w:r w:rsidRPr="007B1664">
        <w:rPr>
          <w:rFonts w:ascii="Times New Roman" w:hAnsi="Times New Roman"/>
          <w:sz w:val="24"/>
        </w:rPr>
        <w:t>/2033. Por esta razão, a comunicação exigida centra-se nas cinco maiores posições, se disponíveis, relativamente a cada um dos elementos i) a vi) do n.</w:t>
      </w:r>
      <w:r w:rsidRPr="007B1664">
        <w:rPr>
          <w:rFonts w:ascii="Times New Roman" w:hAnsi="Times New Roman"/>
          <w:sz w:val="24"/>
          <w:vertAlign w:val="superscript"/>
        </w:rPr>
        <w:t>o</w:t>
      </w:r>
      <w:r w:rsidRPr="007B1664">
        <w:rPr>
          <w:rFonts w:ascii="Times New Roman" w:hAnsi="Times New Roman"/>
          <w:sz w:val="24"/>
        </w:rPr>
        <w:t> 19 detidos numa determinada instituição, cliente ou outra entidade ou que a estes sejam atribuíveis. Es</w:t>
      </w:r>
      <w:r w:rsidRPr="007B1664">
        <w:rPr>
          <w:rFonts w:ascii="Times New Roman" w:hAnsi="Times New Roman"/>
          <w:sz w:val="24"/>
        </w:rPr>
        <w:t>ta comunicação permite que as autoridades competentes compreendam melhor os riscos que as empresas de investimento possam enfrentar em relação a esses elementos.</w:t>
      </w:r>
    </w:p>
    <w:p w14:paraId="672997EA" w14:textId="77777777" w:rsidR="000B1B99" w:rsidRPr="007B1664" w:rsidRDefault="007B1664">
      <w:pPr>
        <w:spacing w:line="256" w:lineRule="auto"/>
        <w:ind w:left="993" w:hanging="567"/>
        <w:jc w:val="both"/>
        <w:rPr>
          <w:rFonts w:ascii="Times New Roman" w:hAnsi="Times New Roman" w:cs="Times New Roman"/>
          <w:sz w:val="24"/>
        </w:rPr>
      </w:pPr>
      <w:r w:rsidRPr="007B1664">
        <w:rPr>
          <w:rFonts w:ascii="Times New Roman" w:hAnsi="Times New Roman" w:cs="Times New Roman"/>
          <w:sz w:val="24"/>
        </w:rPr>
        <w:t>19.</w:t>
      </w:r>
      <w:r w:rsidRPr="007B1664">
        <w:rPr>
          <w:rFonts w:ascii="Times New Roman" w:hAnsi="Times New Roman" w:cs="Times New Roman"/>
          <w:sz w:val="24"/>
        </w:rPr>
        <w:tab/>
      </w:r>
      <w:r w:rsidRPr="007B1664">
        <w:rPr>
          <w:rFonts w:ascii="Times New Roman" w:hAnsi="Times New Roman"/>
          <w:sz w:val="24"/>
        </w:rPr>
        <w:t xml:space="preserve">A comunicação de informações sobre o risco de concentração efetua-se com base nos </w:t>
      </w:r>
      <w:r w:rsidRPr="007B1664">
        <w:rPr>
          <w:rFonts w:ascii="Times New Roman" w:hAnsi="Times New Roman"/>
          <w:sz w:val="24"/>
        </w:rPr>
        <w:t>modelos I 07.00 e I 08.00 e, em conformidade com o artigo 54.</w:t>
      </w:r>
      <w:r w:rsidRPr="007B1664">
        <w:rPr>
          <w:rFonts w:ascii="Times New Roman" w:hAnsi="Times New Roman"/>
          <w:sz w:val="24"/>
          <w:vertAlign w:val="superscript"/>
        </w:rPr>
        <w:t>o</w:t>
      </w:r>
      <w:r w:rsidRPr="007B1664">
        <w:rPr>
          <w:rFonts w:ascii="Times New Roman" w:hAnsi="Times New Roman"/>
          <w:sz w:val="24"/>
        </w:rPr>
        <w:t>, n.</w:t>
      </w:r>
      <w:r w:rsidRPr="007B1664">
        <w:rPr>
          <w:rFonts w:ascii="Times New Roman" w:hAnsi="Times New Roman"/>
          <w:sz w:val="24"/>
          <w:vertAlign w:val="superscript"/>
        </w:rPr>
        <w:t>o</w:t>
      </w:r>
      <w:r w:rsidRPr="007B1664">
        <w:rPr>
          <w:rFonts w:ascii="Times New Roman" w:hAnsi="Times New Roman"/>
          <w:sz w:val="24"/>
        </w:rPr>
        <w:t> 2, do Regulamento (UE) 2019/2033, as empresas que preenchem as condições para serem consideradas empresas de investimento de pequena dimensão e não interligadas, estabelecidas no artigo 12</w:t>
      </w:r>
      <w:r w:rsidRPr="007B1664">
        <w:rPr>
          <w:rFonts w:ascii="Times New Roman" w:hAnsi="Times New Roman"/>
          <w:sz w:val="24"/>
        </w:rPr>
        <w:t>.</w:t>
      </w:r>
      <w:r w:rsidRPr="007B1664">
        <w:rPr>
          <w:rFonts w:ascii="Times New Roman" w:hAnsi="Times New Roman"/>
          <w:sz w:val="24"/>
          <w:vertAlign w:val="superscript"/>
        </w:rPr>
        <w:t>o</w:t>
      </w:r>
      <w:r w:rsidRPr="007B1664">
        <w:rPr>
          <w:rFonts w:ascii="Times New Roman" w:hAnsi="Times New Roman"/>
          <w:sz w:val="24"/>
        </w:rPr>
        <w:t>, n.</w:t>
      </w:r>
      <w:r w:rsidRPr="007B1664">
        <w:rPr>
          <w:rFonts w:ascii="Times New Roman" w:hAnsi="Times New Roman"/>
          <w:sz w:val="24"/>
          <w:vertAlign w:val="superscript"/>
        </w:rPr>
        <w:t>o</w:t>
      </w:r>
      <w:r w:rsidRPr="007B1664">
        <w:rPr>
          <w:rFonts w:ascii="Times New Roman" w:hAnsi="Times New Roman"/>
          <w:sz w:val="24"/>
        </w:rPr>
        <w:t> 1, do Regulamento (UE) 2019/2033, não são obrigadas a comunicar informações a este respeito.</w:t>
      </w:r>
    </w:p>
    <w:p w14:paraId="41B5D2F6" w14:textId="77777777" w:rsidR="000B1B99" w:rsidRPr="007B1664" w:rsidRDefault="007B1664">
      <w:pPr>
        <w:pStyle w:val="Instructionsberschrift2"/>
        <w:ind w:left="0"/>
        <w:rPr>
          <w:rFonts w:ascii="Times New Roman" w:hAnsi="Times New Roman" w:cs="Times New Roman"/>
          <w:sz w:val="24"/>
        </w:rPr>
      </w:pPr>
      <w:bookmarkStart w:id="84" w:name="_Toc88247704"/>
      <w:r w:rsidRPr="007B1664">
        <w:rPr>
          <w:rFonts w:ascii="Times New Roman" w:hAnsi="Times New Roman"/>
          <w:sz w:val="24"/>
        </w:rPr>
        <w:t>4.2. I 07.00 K-CON - INFORMAÇÕES ADICIONAIS (I7)</w:t>
      </w:r>
      <w:bookmarkEnd w:id="84"/>
    </w:p>
    <w:p w14:paraId="776AF0DE" w14:textId="77777777" w:rsidR="000B1B99" w:rsidRPr="007B1664" w:rsidRDefault="007B1664">
      <w:pPr>
        <w:pStyle w:val="Instructionsberschrift2"/>
        <w:ind w:left="0"/>
        <w:rPr>
          <w:rFonts w:ascii="Times New Roman" w:hAnsi="Times New Roman" w:cs="Times New Roman"/>
        </w:rPr>
      </w:pPr>
      <w:bookmarkStart w:id="85" w:name="_Toc88247705"/>
      <w:r w:rsidRPr="007B1664">
        <w:rPr>
          <w:rFonts w:ascii="Times New Roman" w:hAnsi="Times New Roman"/>
          <w:sz w:val="24"/>
          <w:u w:val="none"/>
        </w:rPr>
        <w:t>4.2.1.</w:t>
      </w:r>
      <w:r w:rsidRPr="007B1664">
        <w:rPr>
          <w:rFonts w:ascii="Times New Roman" w:hAnsi="Times New Roman"/>
          <w:sz w:val="24"/>
          <w:u w:val="none"/>
        </w:rPr>
        <w:tab/>
      </w:r>
      <w:r w:rsidRPr="007B1664">
        <w:rPr>
          <w:rFonts w:ascii="Times New Roman" w:hAnsi="Times New Roman"/>
          <w:sz w:val="24"/>
        </w:rPr>
        <w:t>Instruções relativas a posições específicas</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B1B99" w:rsidRPr="007B1664" w14:paraId="6FE85D6E" w14:textId="77777777">
        <w:tc>
          <w:tcPr>
            <w:tcW w:w="1389" w:type="dxa"/>
            <w:shd w:val="clear" w:color="auto" w:fill="D9D9D9"/>
          </w:tcPr>
          <w:p w14:paraId="5CA77C1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2051745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4583CA68" w14:textId="77777777">
        <w:tc>
          <w:tcPr>
            <w:tcW w:w="1389" w:type="dxa"/>
          </w:tcPr>
          <w:p w14:paraId="4055378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0010-0060</w:t>
            </w:r>
          </w:p>
        </w:tc>
        <w:tc>
          <w:tcPr>
            <w:tcW w:w="7620" w:type="dxa"/>
          </w:tcPr>
          <w:p w14:paraId="2040058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Identificação da contraparte</w:t>
            </w:r>
          </w:p>
          <w:p w14:paraId="5321749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 empresa de investimento deve apresentar a identificação das contrapartes ou grupo de clientes ligados entre si em relação aos quais tenham uma exposição que exceda os limites estabelecidos no artigo 37.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do </w:t>
            </w:r>
            <w:r w:rsidRPr="007B1664">
              <w:rPr>
                <w:rFonts w:ascii="Times New Roman" w:hAnsi="Times New Roman"/>
                <w:bCs/>
              </w:rPr>
              <w:t>Regulamento (UE) 2019/2033.</w:t>
            </w:r>
          </w:p>
        </w:tc>
      </w:tr>
      <w:tr w:rsidR="000B1B99" w:rsidRPr="007B1664" w14:paraId="5E397FDF" w14:textId="77777777">
        <w:tc>
          <w:tcPr>
            <w:tcW w:w="1389" w:type="dxa"/>
          </w:tcPr>
          <w:p w14:paraId="6BF8DF0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45911B49" w14:textId="77777777" w:rsidR="000B1B99" w:rsidRPr="007B1664" w:rsidRDefault="007B1664">
            <w:pPr>
              <w:pStyle w:val="InstructionsText"/>
              <w:rPr>
                <w:rStyle w:val="InstructionsTabelleberschrift"/>
                <w:rFonts w:ascii="Times New Roman" w:hAnsi="Times New Roman"/>
                <w:sz w:val="22"/>
                <w:szCs w:val="22"/>
              </w:rPr>
            </w:pPr>
            <w:r w:rsidRPr="007B1664">
              <w:rPr>
                <w:rStyle w:val="InstructionsTabelleberschrift"/>
                <w:rFonts w:ascii="Times New Roman" w:hAnsi="Times New Roman"/>
                <w:sz w:val="22"/>
                <w:szCs w:val="22"/>
              </w:rPr>
              <w:t>Código</w:t>
            </w:r>
          </w:p>
          <w:p w14:paraId="6AD0903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 xml:space="preserve">O código como parte de um identificador de linha tem de ser único para cada entidade que é objeto de comunicação de informações. Para as empresas de investimento e as empresas de seguros, o código é o código </w:t>
            </w:r>
            <w:r w:rsidRPr="007B1664">
              <w:rPr>
                <w:rStyle w:val="FormatvorlageInstructionsTabelleText"/>
                <w:rFonts w:ascii="Times New Roman" w:hAnsi="Times New Roman"/>
                <w:sz w:val="22"/>
              </w:rPr>
              <w:t>LEI. Para outras entidades, o código é o código LEI ou, quando não disponível, um código nacional. O código deve ser único e utilizado de forma coerente em todos os modelos e ao longo do tempo. O código deve ter sempre um valor.</w:t>
            </w:r>
          </w:p>
        </w:tc>
      </w:tr>
      <w:tr w:rsidR="000B1B99" w:rsidRPr="007B1664" w14:paraId="6BB52F62" w14:textId="77777777">
        <w:tc>
          <w:tcPr>
            <w:tcW w:w="1389" w:type="dxa"/>
          </w:tcPr>
          <w:p w14:paraId="5EEB6B7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Pr>
          <w:p w14:paraId="0885E1AA" w14:textId="77777777" w:rsidR="000B1B99" w:rsidRPr="007B1664" w:rsidRDefault="007B1664">
            <w:pPr>
              <w:pStyle w:val="InstructionsText"/>
              <w:rPr>
                <w:rStyle w:val="InstructionsTabelleberschrift"/>
                <w:rFonts w:ascii="Times New Roman" w:hAnsi="Times New Roman"/>
                <w:sz w:val="22"/>
                <w:szCs w:val="22"/>
              </w:rPr>
            </w:pPr>
            <w:r w:rsidRPr="007B1664">
              <w:rPr>
                <w:rStyle w:val="InstructionsTabelleberschrift"/>
                <w:rFonts w:ascii="Times New Roman" w:hAnsi="Times New Roman"/>
                <w:sz w:val="22"/>
                <w:szCs w:val="22"/>
              </w:rPr>
              <w:t>Tipo de código</w:t>
            </w:r>
          </w:p>
          <w:p w14:paraId="132EE3C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As emp</w:t>
            </w:r>
            <w:r w:rsidRPr="007B1664">
              <w:rPr>
                <w:rFonts w:ascii="Times New Roman" w:hAnsi="Times New Roman"/>
                <w:bCs/>
              </w:rPr>
              <w:t>resas de investimento devem identificar o tipo de código comunicado na coluna 0010 como «tipo de código LEI» ou «tipo de código nacional».</w:t>
            </w:r>
          </w:p>
          <w:p w14:paraId="08E59C9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O tipo de código deve ser sempre comunicado.</w:t>
            </w:r>
          </w:p>
        </w:tc>
      </w:tr>
      <w:tr w:rsidR="000B1B99" w:rsidRPr="007B1664" w14:paraId="2E78EEC1" w14:textId="77777777">
        <w:tc>
          <w:tcPr>
            <w:tcW w:w="1389" w:type="dxa"/>
          </w:tcPr>
          <w:p w14:paraId="20E7BD5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7557541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Nome</w:t>
            </w:r>
          </w:p>
          <w:p w14:paraId="3242245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Sempre que a comunicação disser respeito a um grupo de client</w:t>
            </w:r>
            <w:r w:rsidRPr="007B1664">
              <w:rPr>
                <w:rFonts w:ascii="Times New Roman" w:hAnsi="Times New Roman"/>
              </w:rPr>
              <w:t>es ligados entre si, o nome deve corresponder ao nome da empresa-mãe. Nos restantes casos, o nome deve corresponder à contraparte individual.</w:t>
            </w:r>
          </w:p>
        </w:tc>
      </w:tr>
      <w:tr w:rsidR="000B1B99" w:rsidRPr="007B1664" w14:paraId="130679D7" w14:textId="77777777">
        <w:tc>
          <w:tcPr>
            <w:tcW w:w="1389" w:type="dxa"/>
          </w:tcPr>
          <w:p w14:paraId="706C311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Pr>
          <w:p w14:paraId="01A4041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Grupo/individual</w:t>
            </w:r>
          </w:p>
          <w:p w14:paraId="0C3CC96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 xml:space="preserve">A empresa de investimento deve comunicar «1» para o relato de exposições sobre </w:t>
            </w:r>
            <w:r w:rsidRPr="007B1664">
              <w:rPr>
                <w:rFonts w:ascii="Times New Roman" w:hAnsi="Times New Roman"/>
              </w:rPr>
              <w:t>clientes individuais ou «2» para o relato de exposições sobre grupos de clientes ligados entre si.</w:t>
            </w:r>
          </w:p>
        </w:tc>
      </w:tr>
      <w:tr w:rsidR="000B1B99" w:rsidRPr="007B1664" w14:paraId="6F599D37" w14:textId="77777777">
        <w:tc>
          <w:tcPr>
            <w:tcW w:w="1389" w:type="dxa"/>
          </w:tcPr>
          <w:p w14:paraId="7A7CE5C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Pr>
          <w:p w14:paraId="24884CD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Tipo de contraparte</w:t>
            </w:r>
          </w:p>
          <w:p w14:paraId="1BF7A24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 empresa de investimento deve comunicar, para cada exposição, se esta está associada ao seguinte:</w:t>
            </w:r>
          </w:p>
          <w:p w14:paraId="061A3C8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1. Uma instituição de </w:t>
            </w:r>
            <w:r w:rsidRPr="007B1664">
              <w:rPr>
                <w:rFonts w:ascii="Times New Roman" w:hAnsi="Times New Roman"/>
                <w:bCs/>
              </w:rPr>
              <w:t>crédito ou um grupo de clientes ligados entre si que inclua uma instituição de crédito;</w:t>
            </w:r>
          </w:p>
          <w:p w14:paraId="3791486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2. Uma empresa de investimento ou um grupo de clientes ligados entre si que inclua uma empresa de investimento;</w:t>
            </w:r>
          </w:p>
          <w:p w14:paraId="5B949D0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3. Outras partes que não sejam instituições de crédito, </w:t>
            </w:r>
            <w:r w:rsidRPr="007B1664">
              <w:rPr>
                <w:rFonts w:ascii="Times New Roman" w:hAnsi="Times New Roman"/>
                <w:bCs/>
              </w:rPr>
              <w:t>empresas de investimento ou grupo de clientes ligados entre si que incluam uma empresa de investimento ou uma instituição.</w:t>
            </w:r>
          </w:p>
        </w:tc>
      </w:tr>
      <w:tr w:rsidR="000B1B99" w:rsidRPr="007B1664" w14:paraId="0BACC78F" w14:textId="77777777">
        <w:tc>
          <w:tcPr>
            <w:tcW w:w="1389" w:type="dxa"/>
          </w:tcPr>
          <w:p w14:paraId="5BF1283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0060-0110</w:t>
            </w:r>
          </w:p>
        </w:tc>
        <w:tc>
          <w:tcPr>
            <w:tcW w:w="7620" w:type="dxa"/>
          </w:tcPr>
          <w:p w14:paraId="4DA17D4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rPr>
              <w:t>Exposições da carteira de negociação que excedem os limites estabelecidos no artigo 37.</w:t>
            </w:r>
            <w:r w:rsidRPr="007B1664">
              <w:rPr>
                <w:rFonts w:ascii="Times New Roman" w:hAnsi="Times New Roman"/>
                <w:b/>
                <w:bCs/>
                <w:vertAlign w:val="superscript"/>
              </w:rPr>
              <w:t>o</w:t>
            </w:r>
            <w:r w:rsidRPr="007B1664">
              <w:rPr>
                <w:rFonts w:ascii="Times New Roman" w:hAnsi="Times New Roman"/>
                <w:b/>
                <w:bCs/>
              </w:rPr>
              <w:t>, n.</w:t>
            </w:r>
            <w:r w:rsidRPr="007B1664">
              <w:rPr>
                <w:rFonts w:ascii="Times New Roman" w:hAnsi="Times New Roman"/>
                <w:b/>
                <w:bCs/>
                <w:vertAlign w:val="superscript"/>
              </w:rPr>
              <w:t>o</w:t>
            </w:r>
            <w:r w:rsidRPr="007B1664">
              <w:rPr>
                <w:rFonts w:ascii="Times New Roman" w:hAnsi="Times New Roman"/>
                <w:b/>
                <w:bCs/>
              </w:rPr>
              <w:t> 1, do Regulamento (UE) 2019/</w:t>
            </w:r>
            <w:r w:rsidRPr="007B1664">
              <w:rPr>
                <w:rFonts w:ascii="Times New Roman" w:hAnsi="Times New Roman"/>
                <w:b/>
                <w:bCs/>
              </w:rPr>
              <w:t>2033</w:t>
            </w:r>
          </w:p>
          <w:p w14:paraId="47510EA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 empresa de investimento deve comunicar informações sobre cada exposição que exceda os limites estabelecidos no artigo 37.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 nos termos dos artigos 36.</w:t>
            </w:r>
            <w:r w:rsidRPr="007B1664">
              <w:rPr>
                <w:rFonts w:ascii="Times New Roman" w:hAnsi="Times New Roman"/>
                <w:bCs/>
                <w:vertAlign w:val="superscript"/>
              </w:rPr>
              <w:t>o</w:t>
            </w:r>
            <w:r w:rsidRPr="007B1664">
              <w:rPr>
                <w:rFonts w:ascii="Times New Roman" w:hAnsi="Times New Roman"/>
                <w:bCs/>
              </w:rPr>
              <w:t xml:space="preserve"> e 39.° do Regulamento (UE) 2019/2033.</w:t>
            </w:r>
          </w:p>
        </w:tc>
      </w:tr>
      <w:tr w:rsidR="000B1B99" w:rsidRPr="007B1664" w14:paraId="5614EC33" w14:textId="77777777">
        <w:tc>
          <w:tcPr>
            <w:tcW w:w="1389" w:type="dxa"/>
          </w:tcPr>
          <w:p w14:paraId="7E70821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Pr>
          <w:p w14:paraId="3D3B1DE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Valor da exposi</w:t>
            </w:r>
            <w:r w:rsidRPr="007B1664">
              <w:rPr>
                <w:rFonts w:ascii="Times New Roman" w:hAnsi="Times New Roman"/>
                <w:b/>
                <w:bCs/>
                <w:u w:val="single"/>
              </w:rPr>
              <w:t>ção</w:t>
            </w:r>
          </w:p>
          <w:p w14:paraId="1FF6B1E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36.</w:t>
            </w:r>
            <w:r w:rsidRPr="007B1664">
              <w:rPr>
                <w:rFonts w:ascii="Times New Roman" w:hAnsi="Times New Roman"/>
                <w:bCs/>
                <w:vertAlign w:val="superscript"/>
              </w:rPr>
              <w:t>o</w:t>
            </w:r>
            <w:r w:rsidRPr="007B1664">
              <w:rPr>
                <w:rFonts w:ascii="Times New Roman" w:hAnsi="Times New Roman"/>
                <w:bCs/>
              </w:rPr>
              <w:t xml:space="preserve"> do Regulamento (UE) 2019/2033.</w:t>
            </w:r>
          </w:p>
        </w:tc>
      </w:tr>
      <w:tr w:rsidR="000B1B99" w:rsidRPr="007B1664" w14:paraId="1B372F08" w14:textId="77777777">
        <w:tc>
          <w:tcPr>
            <w:tcW w:w="1389" w:type="dxa"/>
          </w:tcPr>
          <w:p w14:paraId="7BB63A3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0070</w:t>
            </w:r>
          </w:p>
        </w:tc>
        <w:tc>
          <w:tcPr>
            <w:tcW w:w="7620" w:type="dxa"/>
          </w:tcPr>
          <w:p w14:paraId="18E43A1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Valor da exposição (em % dos fundos próprios)</w:t>
            </w:r>
          </w:p>
          <w:p w14:paraId="0694F2E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Exposição calculada nos termos do artigo 36.</w:t>
            </w:r>
            <w:r w:rsidRPr="007B1664">
              <w:rPr>
                <w:rFonts w:ascii="Times New Roman" w:hAnsi="Times New Roman"/>
                <w:bCs/>
                <w:vertAlign w:val="superscript"/>
              </w:rPr>
              <w:t>o</w:t>
            </w:r>
            <w:r w:rsidRPr="007B1664">
              <w:rPr>
                <w:rFonts w:ascii="Times New Roman" w:hAnsi="Times New Roman"/>
                <w:bCs/>
              </w:rPr>
              <w:t xml:space="preserve"> do Regulamento (UE) 2019/2033 e expressa em percentagem dos fundos próprios da empresa.</w:t>
            </w:r>
          </w:p>
        </w:tc>
      </w:tr>
      <w:tr w:rsidR="000B1B99" w:rsidRPr="007B1664" w14:paraId="62C69F45" w14:textId="77777777">
        <w:tc>
          <w:tcPr>
            <w:tcW w:w="1389" w:type="dxa"/>
          </w:tcPr>
          <w:p w14:paraId="2F1418B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0080</w:t>
            </w:r>
          </w:p>
        </w:tc>
        <w:tc>
          <w:tcPr>
            <w:tcW w:w="7620" w:type="dxa"/>
          </w:tcPr>
          <w:p w14:paraId="3104803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Requisito de fundos próprios da exposição total</w:t>
            </w:r>
          </w:p>
          <w:p w14:paraId="14B79B1F" w14:textId="77777777" w:rsidR="000B1B99" w:rsidRPr="007B1664" w:rsidRDefault="007B1664">
            <w:pPr>
              <w:autoSpaceDE w:val="0"/>
              <w:autoSpaceDN w:val="0"/>
              <w:adjustRightInd w:val="0"/>
              <w:spacing w:after="120" w:line="240" w:lineRule="auto"/>
              <w:rPr>
                <w:rFonts w:ascii="Times New Roman" w:eastAsia="Times New Roman" w:hAnsi="Times New Roman" w:cs="Times New Roman"/>
                <w:bCs/>
              </w:rPr>
            </w:pPr>
            <w:r w:rsidRPr="007B1664">
              <w:rPr>
                <w:rFonts w:ascii="Times New Roman" w:hAnsi="Times New Roman"/>
              </w:rPr>
              <w:lastRenderedPageBreak/>
              <w:t>Requisito de fundos próprios da exposição total sobre a contraparte individual ou grupo de clientes ligados entre si, calculado como o montante total de K-TCD e do requisito baseado no risco específico relati</w:t>
            </w:r>
            <w:r w:rsidRPr="007B1664">
              <w:rPr>
                <w:rFonts w:ascii="Times New Roman" w:hAnsi="Times New Roman"/>
              </w:rPr>
              <w:t>vo ao K-NPR para a exposição em causa.</w:t>
            </w:r>
          </w:p>
        </w:tc>
      </w:tr>
      <w:tr w:rsidR="000B1B99" w:rsidRPr="007B1664" w14:paraId="53213A4D" w14:textId="77777777">
        <w:tc>
          <w:tcPr>
            <w:tcW w:w="1389" w:type="dxa"/>
          </w:tcPr>
          <w:p w14:paraId="78D8FDF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0090</w:t>
            </w:r>
          </w:p>
        </w:tc>
        <w:tc>
          <w:tcPr>
            <w:tcW w:w="7620" w:type="dxa"/>
          </w:tcPr>
          <w:p w14:paraId="37930BA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Excesso do valor das exposições</w:t>
            </w:r>
          </w:p>
          <w:p w14:paraId="1F31C36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Montante calculado em conformidade com o artigo 37.</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segundo parágrafo, do Regulamento (UE) 2019/2033 relativamente à exposição em causa.</w:t>
            </w:r>
          </w:p>
        </w:tc>
      </w:tr>
      <w:tr w:rsidR="000B1B99" w:rsidRPr="007B1664" w14:paraId="1D354B23" w14:textId="77777777">
        <w:tc>
          <w:tcPr>
            <w:tcW w:w="1389" w:type="dxa"/>
          </w:tcPr>
          <w:p w14:paraId="3CC6828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0100</w:t>
            </w:r>
          </w:p>
        </w:tc>
        <w:tc>
          <w:tcPr>
            <w:tcW w:w="7620" w:type="dxa"/>
          </w:tcPr>
          <w:p w14:paraId="268B284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Duração do excesso (em </w:t>
            </w:r>
            <w:r w:rsidRPr="007B1664">
              <w:rPr>
                <w:rFonts w:ascii="Times New Roman" w:hAnsi="Times New Roman"/>
                <w:b/>
                <w:bCs/>
                <w:u w:val="single"/>
              </w:rPr>
              <w:t>dias)</w:t>
            </w:r>
          </w:p>
          <w:p w14:paraId="4393EE9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Número de dias decorridos desde a primeira ocorrência do excesso de exposição.</w:t>
            </w:r>
          </w:p>
        </w:tc>
      </w:tr>
      <w:tr w:rsidR="000B1B99" w:rsidRPr="007B1664" w14:paraId="24FBDC66" w14:textId="77777777">
        <w:tc>
          <w:tcPr>
            <w:tcW w:w="1389" w:type="dxa"/>
          </w:tcPr>
          <w:p w14:paraId="2090323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0110</w:t>
            </w:r>
          </w:p>
        </w:tc>
        <w:tc>
          <w:tcPr>
            <w:tcW w:w="7620" w:type="dxa"/>
          </w:tcPr>
          <w:p w14:paraId="56E434A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Requisito de fundos próprios K-CON para o excesso</w:t>
            </w:r>
          </w:p>
          <w:p w14:paraId="0BC523D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Montante calculado em conformidade com o artigo 39.</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 relativamente à exposiçã</w:t>
            </w:r>
            <w:r w:rsidRPr="007B1664">
              <w:rPr>
                <w:rFonts w:ascii="Times New Roman" w:hAnsi="Times New Roman"/>
                <w:bCs/>
              </w:rPr>
              <w:t>o em causa.</w:t>
            </w:r>
          </w:p>
        </w:tc>
      </w:tr>
    </w:tbl>
    <w:p w14:paraId="6D42F5DD" w14:textId="77777777" w:rsidR="000B1B99" w:rsidRPr="007B1664" w:rsidRDefault="007B1664">
      <w:pPr>
        <w:pStyle w:val="Instructionsberschrift2"/>
        <w:ind w:left="357" w:hanging="357"/>
        <w:rPr>
          <w:rFonts w:ascii="Times New Roman" w:hAnsi="Times New Roman" w:cs="Times New Roman"/>
          <w:sz w:val="24"/>
        </w:rPr>
      </w:pPr>
      <w:bookmarkStart w:id="86" w:name="_Toc88247706"/>
      <w:r w:rsidRPr="007B1664">
        <w:rPr>
          <w:rFonts w:ascii="Times New Roman" w:hAnsi="Times New Roman"/>
          <w:sz w:val="24"/>
        </w:rPr>
        <w:t>4.3. I 08.01 – NÍVEL DE RISCO DE CONCENTRAÇÃO - FUNDOS DE CLIENTES DETIDOS (I 8.1)</w:t>
      </w:r>
      <w:bookmarkEnd w:id="86"/>
    </w:p>
    <w:p w14:paraId="3CDF240F" w14:textId="77777777" w:rsidR="000B1B99" w:rsidRPr="007B1664" w:rsidRDefault="007B1664">
      <w:pPr>
        <w:pStyle w:val="Instructionsberschrift2"/>
        <w:ind w:left="357" w:hanging="357"/>
        <w:rPr>
          <w:rFonts w:ascii="Times New Roman" w:hAnsi="Times New Roman" w:cs="Times New Roman"/>
          <w:sz w:val="24"/>
          <w:u w:val="none"/>
        </w:rPr>
      </w:pPr>
      <w:bookmarkStart w:id="87" w:name="_Toc88247707"/>
      <w:r w:rsidRPr="007B1664">
        <w:rPr>
          <w:rFonts w:ascii="Times New Roman" w:hAnsi="Times New Roman"/>
          <w:sz w:val="24"/>
          <w:u w:val="none"/>
        </w:rPr>
        <w:t>4.3.1.</w:t>
      </w:r>
      <w:r w:rsidRPr="007B1664">
        <w:rPr>
          <w:rFonts w:ascii="Times New Roman" w:hAnsi="Times New Roman"/>
          <w:sz w:val="24"/>
          <w:u w:val="none"/>
        </w:rPr>
        <w:tab/>
      </w:r>
      <w:r w:rsidRPr="007B1664">
        <w:rPr>
          <w:rFonts w:ascii="Times New Roman" w:hAnsi="Times New Roman"/>
          <w:sz w:val="24"/>
        </w:rPr>
        <w:t>Instruções relativas a colunas específicas</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B1B99" w:rsidRPr="007B1664" w14:paraId="70589D68" w14:textId="77777777">
        <w:tc>
          <w:tcPr>
            <w:tcW w:w="1389" w:type="dxa"/>
            <w:shd w:val="clear" w:color="auto" w:fill="D9D9D9"/>
          </w:tcPr>
          <w:p w14:paraId="57772831"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4"/>
              </w:rPr>
              <w:t>Colunas</w:t>
            </w:r>
          </w:p>
        </w:tc>
        <w:tc>
          <w:tcPr>
            <w:tcW w:w="7620" w:type="dxa"/>
            <w:shd w:val="clear" w:color="auto" w:fill="D9D9D9"/>
          </w:tcPr>
          <w:p w14:paraId="114DCA5A"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4"/>
              </w:rPr>
              <w:t>Referências jurídicas e instruções</w:t>
            </w:r>
          </w:p>
        </w:tc>
      </w:tr>
      <w:tr w:rsidR="000B1B99" w:rsidRPr="007B1664" w14:paraId="5C8C8B72" w14:textId="77777777">
        <w:tc>
          <w:tcPr>
            <w:tcW w:w="1389" w:type="dxa"/>
          </w:tcPr>
          <w:p w14:paraId="129BA043"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0010-0060</w:t>
            </w:r>
          </w:p>
        </w:tc>
        <w:tc>
          <w:tcPr>
            <w:tcW w:w="7620" w:type="dxa"/>
          </w:tcPr>
          <w:p w14:paraId="775FD904"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Total de fundos de clientes detidos</w:t>
            </w:r>
          </w:p>
          <w:p w14:paraId="331574E0"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b), do Regulamento (UE) 2019/2033.</w:t>
            </w:r>
          </w:p>
          <w:p w14:paraId="59318A1E"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 xml:space="preserve">A empresa de investimento deve apresentar a identificação, se disponível, das cinco contrapartes ou grupo de contrapartes ligadas entre si em que são detidos os maiores montantes de fundos de clientes. </w:t>
            </w:r>
          </w:p>
        </w:tc>
      </w:tr>
      <w:tr w:rsidR="000B1B99" w:rsidRPr="007B1664" w14:paraId="68A22948" w14:textId="77777777">
        <w:tc>
          <w:tcPr>
            <w:tcW w:w="1389" w:type="dxa"/>
          </w:tcPr>
          <w:p w14:paraId="16CE797F"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0010</w:t>
            </w:r>
          </w:p>
        </w:tc>
        <w:tc>
          <w:tcPr>
            <w:tcW w:w="7620" w:type="dxa"/>
          </w:tcPr>
          <w:p w14:paraId="0A17B1E4" w14:textId="77777777" w:rsidR="000B1B99" w:rsidRPr="007B1664" w:rsidRDefault="007B1664">
            <w:pPr>
              <w:pStyle w:val="InstructionsText"/>
              <w:rPr>
                <w:rStyle w:val="InstructionsTabelleberschrift"/>
                <w:rFonts w:ascii="Times New Roman" w:hAnsi="Times New Roman"/>
                <w:sz w:val="22"/>
              </w:rPr>
            </w:pPr>
            <w:r w:rsidRPr="007B1664">
              <w:rPr>
                <w:rStyle w:val="InstructionsTabelleberschrift"/>
                <w:rFonts w:ascii="Times New Roman" w:hAnsi="Times New Roman"/>
                <w:sz w:val="22"/>
              </w:rPr>
              <w:t>Código</w:t>
            </w:r>
          </w:p>
          <w:p w14:paraId="4A102682"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Style w:val="FormatvorlageInstructionsTabelleText"/>
                <w:rFonts w:ascii="Times New Roman" w:hAnsi="Times New Roman"/>
                <w:sz w:val="22"/>
                <w:szCs w:val="24"/>
              </w:rPr>
              <w:t>O código como parte de um identificador de linha tem de ser único para cada entidade que é objeto de comunicação de informações. Para as empresas de investimento e as empresas de seguros, o código é o código LEI. Para outras entidades, o código</w:t>
            </w:r>
            <w:r w:rsidRPr="007B1664">
              <w:rPr>
                <w:rStyle w:val="FormatvorlageInstructionsTabelleText"/>
                <w:rFonts w:ascii="Times New Roman" w:hAnsi="Times New Roman"/>
                <w:sz w:val="22"/>
                <w:szCs w:val="24"/>
              </w:rPr>
              <w:t xml:space="preserve"> é o código LEI ou, quando não disponível, um código nacional. O código deve ser único e utilizado de forma coerente em todos os modelos e ao longo do tempo. O código deve ter sempre um valor.</w:t>
            </w:r>
          </w:p>
        </w:tc>
      </w:tr>
      <w:tr w:rsidR="000B1B99" w:rsidRPr="007B1664" w14:paraId="71949A47" w14:textId="77777777">
        <w:tc>
          <w:tcPr>
            <w:tcW w:w="1389" w:type="dxa"/>
          </w:tcPr>
          <w:p w14:paraId="3016AA1D"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0020</w:t>
            </w:r>
          </w:p>
        </w:tc>
        <w:tc>
          <w:tcPr>
            <w:tcW w:w="7620" w:type="dxa"/>
          </w:tcPr>
          <w:p w14:paraId="7088F725" w14:textId="77777777" w:rsidR="000B1B99" w:rsidRPr="007B1664" w:rsidRDefault="007B1664">
            <w:pPr>
              <w:pStyle w:val="InstructionsText"/>
              <w:rPr>
                <w:rStyle w:val="InstructionsTabelleberschrift"/>
                <w:rFonts w:ascii="Times New Roman" w:hAnsi="Times New Roman"/>
                <w:sz w:val="22"/>
              </w:rPr>
            </w:pPr>
            <w:r w:rsidRPr="007B1664">
              <w:rPr>
                <w:rStyle w:val="InstructionsTabelleberschrift"/>
                <w:rFonts w:ascii="Times New Roman" w:hAnsi="Times New Roman"/>
                <w:sz w:val="22"/>
              </w:rPr>
              <w:t>Tipo de código</w:t>
            </w:r>
          </w:p>
          <w:p w14:paraId="517E33C3"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As empresas de investimento devem identifi</w:t>
            </w:r>
            <w:r w:rsidRPr="007B1664">
              <w:rPr>
                <w:rFonts w:ascii="Times New Roman" w:hAnsi="Times New Roman"/>
                <w:bCs/>
                <w:szCs w:val="24"/>
              </w:rPr>
              <w:t>car o tipo de código comunicado na coluna 0010 como «tipo de código LEI» ou «tipo de código nacional».</w:t>
            </w:r>
          </w:p>
        </w:tc>
      </w:tr>
      <w:tr w:rsidR="000B1B99" w:rsidRPr="007B1664" w14:paraId="12D1365C" w14:textId="77777777">
        <w:tc>
          <w:tcPr>
            <w:tcW w:w="1389" w:type="dxa"/>
          </w:tcPr>
          <w:p w14:paraId="6CEF78D9"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0030</w:t>
            </w:r>
          </w:p>
        </w:tc>
        <w:tc>
          <w:tcPr>
            <w:tcW w:w="7620" w:type="dxa"/>
          </w:tcPr>
          <w:p w14:paraId="39FBFBC4"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Nome</w:t>
            </w:r>
          </w:p>
          <w:p w14:paraId="12F66D71" w14:textId="77777777" w:rsidR="000B1B99" w:rsidRPr="007B1664" w:rsidRDefault="007B1664">
            <w:pPr>
              <w:pStyle w:val="Default"/>
              <w:spacing w:after="120"/>
              <w:jc w:val="both"/>
              <w:rPr>
                <w:sz w:val="22"/>
                <w:szCs w:val="23"/>
              </w:rPr>
            </w:pPr>
            <w:r w:rsidRPr="007B1664">
              <w:rPr>
                <w:sz w:val="22"/>
                <w:szCs w:val="23"/>
              </w:rPr>
              <w:t>Sempre que a comunicação disser respeito a um grupo de contrapartes ligadas entre si, o nome deve corresponder ao nome da empresa-mãe. Nos res</w:t>
            </w:r>
            <w:r w:rsidRPr="007B1664">
              <w:rPr>
                <w:sz w:val="22"/>
                <w:szCs w:val="23"/>
              </w:rPr>
              <w:t xml:space="preserve">tantes casos, o nome deve corresponder à contraparte individual. </w:t>
            </w:r>
          </w:p>
        </w:tc>
      </w:tr>
      <w:tr w:rsidR="000B1B99" w:rsidRPr="007B1664" w14:paraId="3F1F2C74" w14:textId="77777777">
        <w:tc>
          <w:tcPr>
            <w:tcW w:w="1389" w:type="dxa"/>
          </w:tcPr>
          <w:p w14:paraId="7F1F24A3"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0040</w:t>
            </w:r>
          </w:p>
        </w:tc>
        <w:tc>
          <w:tcPr>
            <w:tcW w:w="7620" w:type="dxa"/>
          </w:tcPr>
          <w:p w14:paraId="68CD6A69"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Grupo/individual</w:t>
            </w:r>
          </w:p>
          <w:p w14:paraId="2B783F3F" w14:textId="77777777" w:rsidR="000B1B99" w:rsidRPr="007B1664" w:rsidRDefault="007B1664">
            <w:pPr>
              <w:pStyle w:val="Default"/>
              <w:jc w:val="both"/>
              <w:rPr>
                <w:sz w:val="22"/>
              </w:rPr>
            </w:pPr>
            <w:r w:rsidRPr="007B1664">
              <w:rPr>
                <w:sz w:val="22"/>
                <w:szCs w:val="23"/>
              </w:rPr>
              <w:t xml:space="preserve">A empresa deve comunicar «1» para as exposições sobre clientes individuais ou «2» para as exposições sobre grupos de clientes ligados entre si. </w:t>
            </w:r>
          </w:p>
        </w:tc>
      </w:tr>
      <w:tr w:rsidR="000B1B99" w:rsidRPr="007B1664" w14:paraId="47C02C47" w14:textId="77777777">
        <w:tc>
          <w:tcPr>
            <w:tcW w:w="1389" w:type="dxa"/>
          </w:tcPr>
          <w:p w14:paraId="29F92C71"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0050</w:t>
            </w:r>
          </w:p>
        </w:tc>
        <w:tc>
          <w:tcPr>
            <w:tcW w:w="7620" w:type="dxa"/>
          </w:tcPr>
          <w:p w14:paraId="572ABDC5"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 xml:space="preserve">Total de </w:t>
            </w:r>
            <w:r w:rsidRPr="007B1664">
              <w:rPr>
                <w:rFonts w:ascii="Times New Roman" w:hAnsi="Times New Roman"/>
                <w:b/>
                <w:bCs/>
                <w:szCs w:val="24"/>
                <w:u w:val="single"/>
              </w:rPr>
              <w:t>fundos de clientes detidos à data de referência</w:t>
            </w:r>
          </w:p>
          <w:p w14:paraId="1DBF1CCA"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A empresa deve comunicar o montante total dos fundos dos clientes à data de referência.</w:t>
            </w:r>
          </w:p>
        </w:tc>
      </w:tr>
      <w:tr w:rsidR="000B1B99" w:rsidRPr="007B1664" w14:paraId="3CBA33EA" w14:textId="77777777">
        <w:tc>
          <w:tcPr>
            <w:tcW w:w="1389" w:type="dxa"/>
          </w:tcPr>
          <w:p w14:paraId="326F70CB"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0060</w:t>
            </w:r>
          </w:p>
        </w:tc>
        <w:tc>
          <w:tcPr>
            <w:tcW w:w="7620" w:type="dxa"/>
          </w:tcPr>
          <w:p w14:paraId="7846DCC8"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Percentagem de fundos de clientes detidos nesta instituição</w:t>
            </w:r>
          </w:p>
          <w:p w14:paraId="5190D7F8"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lastRenderedPageBreak/>
              <w:t>A empresa deve comunicar o montante de fundos de clien</w:t>
            </w:r>
            <w:r w:rsidRPr="007B1664">
              <w:rPr>
                <w:rFonts w:ascii="Times New Roman" w:hAnsi="Times New Roman"/>
                <w:bCs/>
                <w:szCs w:val="24"/>
              </w:rPr>
              <w:t>tes detidos na data de referência junto de cada uma das contrapartes ou grupos de contrapartes ligadas entre si em relação aos quais é efetuada a comunicação, expresso em percentagem do total (comunicado na coluna 0050).</w:t>
            </w:r>
          </w:p>
        </w:tc>
      </w:tr>
    </w:tbl>
    <w:p w14:paraId="4E666449" w14:textId="77777777" w:rsidR="000B1B99" w:rsidRPr="007B1664" w:rsidRDefault="000B1B99">
      <w:pPr>
        <w:spacing w:after="0"/>
        <w:rPr>
          <w:rFonts w:ascii="Times New Roman" w:hAnsi="Times New Roman" w:cs="Times New Roman"/>
          <w:u w:val="single"/>
        </w:rPr>
      </w:pPr>
    </w:p>
    <w:p w14:paraId="49221AE9" w14:textId="77777777" w:rsidR="000B1B99" w:rsidRPr="007B1664" w:rsidRDefault="007B1664">
      <w:pPr>
        <w:pStyle w:val="Instructionsberschrift2"/>
        <w:ind w:left="357" w:hanging="357"/>
        <w:rPr>
          <w:rFonts w:ascii="Times New Roman" w:hAnsi="Times New Roman" w:cs="Times New Roman"/>
          <w:sz w:val="24"/>
        </w:rPr>
      </w:pPr>
      <w:bookmarkStart w:id="88" w:name="_Toc88247708"/>
      <w:r w:rsidRPr="007B1664">
        <w:rPr>
          <w:rFonts w:ascii="Times New Roman" w:hAnsi="Times New Roman"/>
          <w:sz w:val="24"/>
        </w:rPr>
        <w:t xml:space="preserve">4.4. I 08.02 – NÍVEL DE RISCO DE </w:t>
      </w:r>
      <w:r w:rsidRPr="007B1664">
        <w:rPr>
          <w:rFonts w:ascii="Times New Roman" w:hAnsi="Times New Roman"/>
          <w:sz w:val="24"/>
        </w:rPr>
        <w:t>CONCENTRAÇÃO - ATIVOS OBJETO DE GUARDA E ADMINISTRAÇÃO (I 8.2)</w:t>
      </w:r>
      <w:bookmarkEnd w:id="88"/>
    </w:p>
    <w:p w14:paraId="3C6F470B" w14:textId="77777777" w:rsidR="000B1B99" w:rsidRPr="007B1664" w:rsidRDefault="007B1664">
      <w:pPr>
        <w:pStyle w:val="Instructionsberschrift2"/>
        <w:ind w:left="357" w:hanging="357"/>
        <w:rPr>
          <w:rFonts w:ascii="Times New Roman" w:hAnsi="Times New Roman" w:cs="Times New Roman"/>
          <w:sz w:val="24"/>
          <w:u w:val="none"/>
        </w:rPr>
      </w:pPr>
      <w:bookmarkStart w:id="89" w:name="_Toc88247709"/>
      <w:r w:rsidRPr="007B1664">
        <w:rPr>
          <w:rFonts w:ascii="Times New Roman" w:hAnsi="Times New Roman"/>
          <w:sz w:val="24"/>
          <w:u w:val="none"/>
        </w:rPr>
        <w:t>4.4.1.</w:t>
      </w:r>
      <w:r w:rsidRPr="007B1664">
        <w:rPr>
          <w:rFonts w:ascii="Times New Roman" w:hAnsi="Times New Roman"/>
          <w:sz w:val="24"/>
          <w:u w:val="none"/>
        </w:rPr>
        <w:tab/>
      </w:r>
      <w:r w:rsidRPr="007B1664">
        <w:rPr>
          <w:rFonts w:ascii="Times New Roman" w:hAnsi="Times New Roman"/>
          <w:sz w:val="24"/>
        </w:rPr>
        <w:t>Instruções relativas a colunas específicas</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B1B99" w:rsidRPr="007B1664" w14:paraId="77FF68D5" w14:textId="77777777">
        <w:tc>
          <w:tcPr>
            <w:tcW w:w="1389" w:type="dxa"/>
            <w:shd w:val="clear" w:color="auto" w:fill="D9D9D9"/>
          </w:tcPr>
          <w:p w14:paraId="1405482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29AD4A1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43431531" w14:textId="77777777">
        <w:tc>
          <w:tcPr>
            <w:tcW w:w="1389" w:type="dxa"/>
          </w:tcPr>
          <w:p w14:paraId="1C659A7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0010-0060</w:t>
            </w:r>
          </w:p>
        </w:tc>
        <w:tc>
          <w:tcPr>
            <w:tcW w:w="7620" w:type="dxa"/>
          </w:tcPr>
          <w:p w14:paraId="00E4382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de ativos objeto de guarda e administração (ASA)</w:t>
            </w:r>
          </w:p>
          <w:p w14:paraId="4E49FC7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2, alínea c), </w:t>
            </w:r>
            <w:r w:rsidRPr="007B1664">
              <w:rPr>
                <w:rFonts w:ascii="Times New Roman" w:hAnsi="Times New Roman"/>
                <w:bCs/>
              </w:rPr>
              <w:t>do Regulamento (UE) 2019/2033.</w:t>
            </w:r>
          </w:p>
          <w:p w14:paraId="0768319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A empresa deve apresentar, se disponível, a identificação das cinco contrapartes, ou grupo de contrapartes ligadas entre si, em que são detidos os maiores montantes de valores mobiliários de clientes. </w:t>
            </w:r>
          </w:p>
        </w:tc>
      </w:tr>
      <w:tr w:rsidR="000B1B99" w:rsidRPr="007B1664" w14:paraId="27E64E43" w14:textId="77777777">
        <w:tc>
          <w:tcPr>
            <w:tcW w:w="1389" w:type="dxa"/>
          </w:tcPr>
          <w:p w14:paraId="7F90E07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74017752" w14:textId="77777777" w:rsidR="000B1B99" w:rsidRPr="007B1664" w:rsidRDefault="007B1664">
            <w:pPr>
              <w:pStyle w:val="InstructionsText"/>
              <w:rPr>
                <w:rStyle w:val="InstructionsTabelleberschrift"/>
                <w:rFonts w:ascii="Times New Roman" w:hAnsi="Times New Roman"/>
                <w:sz w:val="22"/>
                <w:szCs w:val="22"/>
              </w:rPr>
            </w:pPr>
            <w:r w:rsidRPr="007B1664">
              <w:rPr>
                <w:rStyle w:val="InstructionsTabelleberschrift"/>
                <w:rFonts w:ascii="Times New Roman" w:hAnsi="Times New Roman"/>
                <w:sz w:val="22"/>
                <w:szCs w:val="22"/>
              </w:rPr>
              <w:t>Código</w:t>
            </w:r>
          </w:p>
          <w:p w14:paraId="774B897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O código c</w:t>
            </w:r>
            <w:r w:rsidRPr="007B1664">
              <w:rPr>
                <w:rStyle w:val="FormatvorlageInstructionsTabelleText"/>
                <w:rFonts w:ascii="Times New Roman" w:hAnsi="Times New Roman"/>
                <w:sz w:val="22"/>
              </w:rPr>
              <w:t>omo parte de um identificador de linha tem de ser único para cada entidade que é objeto de comunicação de informações. Para as empresas de investimento e as empresas de seguros, o código é o código LEI. Para outras entidades, o código é o código LEI ou, qu</w:t>
            </w:r>
            <w:r w:rsidRPr="007B1664">
              <w:rPr>
                <w:rStyle w:val="FormatvorlageInstructionsTabelleText"/>
                <w:rFonts w:ascii="Times New Roman" w:hAnsi="Times New Roman"/>
                <w:sz w:val="22"/>
              </w:rPr>
              <w:t>ando não disponível, um código nacional. O código deve ser único e utilizado de forma coerente em todos os modelos e ao longo do tempo. O código deve ter sempre um valor.</w:t>
            </w:r>
          </w:p>
        </w:tc>
      </w:tr>
      <w:tr w:rsidR="000B1B99" w:rsidRPr="007B1664" w14:paraId="2879721D" w14:textId="77777777">
        <w:tc>
          <w:tcPr>
            <w:tcW w:w="1389" w:type="dxa"/>
          </w:tcPr>
          <w:p w14:paraId="49552FB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Pr>
          <w:p w14:paraId="64135A7D" w14:textId="77777777" w:rsidR="000B1B99" w:rsidRPr="007B1664" w:rsidRDefault="007B1664">
            <w:pPr>
              <w:pStyle w:val="InstructionsText"/>
              <w:rPr>
                <w:rStyle w:val="InstructionsTabelleberschrift"/>
                <w:rFonts w:ascii="Times New Roman" w:hAnsi="Times New Roman"/>
                <w:sz w:val="22"/>
                <w:szCs w:val="22"/>
              </w:rPr>
            </w:pPr>
            <w:r w:rsidRPr="007B1664">
              <w:rPr>
                <w:rStyle w:val="InstructionsTabelleberschrift"/>
                <w:rFonts w:ascii="Times New Roman" w:hAnsi="Times New Roman"/>
                <w:sz w:val="22"/>
                <w:szCs w:val="22"/>
              </w:rPr>
              <w:t>Tipo de código</w:t>
            </w:r>
          </w:p>
          <w:p w14:paraId="5583484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As empresas de investimento devem identificar o tipo de </w:t>
            </w:r>
            <w:r w:rsidRPr="007B1664">
              <w:rPr>
                <w:rFonts w:ascii="Times New Roman" w:hAnsi="Times New Roman"/>
                <w:bCs/>
              </w:rPr>
              <w:t>código comunicado na coluna 0010 como «tipo de código LEI» ou «tipo de código nacional».</w:t>
            </w:r>
          </w:p>
        </w:tc>
      </w:tr>
      <w:tr w:rsidR="000B1B99" w:rsidRPr="007B1664" w14:paraId="134F9406" w14:textId="77777777">
        <w:tc>
          <w:tcPr>
            <w:tcW w:w="1389" w:type="dxa"/>
          </w:tcPr>
          <w:p w14:paraId="561B889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795402B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Nome</w:t>
            </w:r>
          </w:p>
          <w:p w14:paraId="26F8011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 xml:space="preserve">Sempre que a comunicação disser respeito a um grupo de contrapartes ligadas entre si, o nome deve corresponder ao nome da empresa-mãe. Nos restantes casos, </w:t>
            </w:r>
            <w:r w:rsidRPr="007B1664">
              <w:rPr>
                <w:rFonts w:ascii="Times New Roman" w:hAnsi="Times New Roman"/>
              </w:rPr>
              <w:t>o nome deve corresponder à contraparte individual</w:t>
            </w:r>
            <w:r w:rsidRPr="007B1664">
              <w:t>.</w:t>
            </w:r>
          </w:p>
        </w:tc>
      </w:tr>
      <w:tr w:rsidR="000B1B99" w:rsidRPr="007B1664" w14:paraId="1DEF04D3" w14:textId="77777777">
        <w:tc>
          <w:tcPr>
            <w:tcW w:w="1389" w:type="dxa"/>
          </w:tcPr>
          <w:p w14:paraId="6EEE5F8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Pr>
          <w:p w14:paraId="49D3A47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Grupo/individual</w:t>
            </w:r>
          </w:p>
          <w:p w14:paraId="5759751F" w14:textId="77777777" w:rsidR="000B1B99" w:rsidRPr="007B1664" w:rsidRDefault="007B1664">
            <w:pPr>
              <w:pStyle w:val="Default"/>
              <w:jc w:val="both"/>
              <w:rPr>
                <w:sz w:val="22"/>
                <w:szCs w:val="22"/>
              </w:rPr>
            </w:pPr>
            <w:r w:rsidRPr="007B1664">
              <w:rPr>
                <w:sz w:val="22"/>
                <w:szCs w:val="22"/>
              </w:rPr>
              <w:t xml:space="preserve">A empresa deve comunicar «1» para as exposições sobre clientes individuais ou «2» para as exposições sobre grupos de clientes ligados entre si. </w:t>
            </w:r>
          </w:p>
        </w:tc>
      </w:tr>
      <w:tr w:rsidR="000B1B99" w:rsidRPr="007B1664" w14:paraId="5B52DA2C" w14:textId="77777777">
        <w:tc>
          <w:tcPr>
            <w:tcW w:w="1389" w:type="dxa"/>
          </w:tcPr>
          <w:p w14:paraId="7598CEF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Pr>
          <w:p w14:paraId="0248E26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Total de ativos objeto de </w:t>
            </w:r>
            <w:r w:rsidRPr="007B1664">
              <w:rPr>
                <w:rFonts w:ascii="Times New Roman" w:hAnsi="Times New Roman"/>
                <w:b/>
                <w:bCs/>
                <w:u w:val="single"/>
              </w:rPr>
              <w:t>guarda e administração à data de referência</w:t>
            </w:r>
          </w:p>
          <w:p w14:paraId="412248E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 empresa deve comunicar o montante total dos valores mobiliários dos clientes depositados em cada instituição à data de referência.</w:t>
            </w:r>
          </w:p>
        </w:tc>
      </w:tr>
      <w:tr w:rsidR="000B1B99" w:rsidRPr="007B1664" w14:paraId="0BDA804B" w14:textId="77777777">
        <w:tc>
          <w:tcPr>
            <w:tcW w:w="1389" w:type="dxa"/>
          </w:tcPr>
          <w:p w14:paraId="1488B33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Pr>
          <w:p w14:paraId="5B4EECD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Percentagem de valores mobiliários de clientes depositados nesta </w:t>
            </w:r>
            <w:r w:rsidRPr="007B1664">
              <w:rPr>
                <w:rFonts w:ascii="Times New Roman" w:hAnsi="Times New Roman"/>
                <w:b/>
                <w:bCs/>
                <w:u w:val="single"/>
              </w:rPr>
              <w:t>instituição</w:t>
            </w:r>
          </w:p>
          <w:p w14:paraId="7DDFC02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A empresa deve comunicar o montante dos valores mobiliários dos clientes depositados na data de referência junto de cada uma das contrapartes ou grupos de contrapartes ligadas entre si em relação aos quais é efetuada a comunicação, expresso em </w:t>
            </w:r>
            <w:r w:rsidRPr="007B1664">
              <w:rPr>
                <w:rFonts w:ascii="Times New Roman" w:hAnsi="Times New Roman"/>
                <w:bCs/>
              </w:rPr>
              <w:t>percentagem do total (comunicado na coluna 0050).</w:t>
            </w:r>
          </w:p>
        </w:tc>
      </w:tr>
    </w:tbl>
    <w:p w14:paraId="587869AD" w14:textId="77777777" w:rsidR="000B1B99" w:rsidRPr="007B1664" w:rsidRDefault="000B1B99">
      <w:pPr>
        <w:spacing w:after="0"/>
        <w:rPr>
          <w:rFonts w:ascii="Times New Roman" w:hAnsi="Times New Roman" w:cs="Times New Roman"/>
          <w:u w:val="single"/>
        </w:rPr>
      </w:pPr>
    </w:p>
    <w:p w14:paraId="1E7B070A" w14:textId="77777777" w:rsidR="000B1B99" w:rsidRPr="007B1664" w:rsidRDefault="007B1664">
      <w:pPr>
        <w:pStyle w:val="Instructionsberschrift2"/>
        <w:ind w:left="357" w:hanging="357"/>
        <w:rPr>
          <w:rFonts w:ascii="Times New Roman" w:hAnsi="Times New Roman" w:cs="Times New Roman"/>
          <w:sz w:val="24"/>
        </w:rPr>
      </w:pPr>
      <w:bookmarkStart w:id="90" w:name="_Toc88247710"/>
      <w:r w:rsidRPr="007B1664">
        <w:rPr>
          <w:rFonts w:ascii="Times New Roman" w:hAnsi="Times New Roman"/>
          <w:sz w:val="24"/>
        </w:rPr>
        <w:lastRenderedPageBreak/>
        <w:t>4.5. I 08.03 – NÍVEL DE RISCO DE CONCENTRAÇÃO - TOTAL DOS DEPÓSITOS PRÓPRIOS EM NUMERÁRIO (I 8.3)</w:t>
      </w:r>
      <w:bookmarkEnd w:id="90"/>
    </w:p>
    <w:p w14:paraId="70C9C167" w14:textId="77777777" w:rsidR="000B1B99" w:rsidRPr="007B1664" w:rsidRDefault="007B1664">
      <w:pPr>
        <w:pStyle w:val="Instructionsberschrift2"/>
        <w:ind w:left="357" w:hanging="357"/>
        <w:rPr>
          <w:rFonts w:ascii="Times New Roman" w:hAnsi="Times New Roman" w:cs="Times New Roman"/>
          <w:sz w:val="24"/>
          <w:u w:val="none"/>
        </w:rPr>
      </w:pPr>
      <w:bookmarkStart w:id="91" w:name="_Toc88247711"/>
      <w:r w:rsidRPr="007B1664">
        <w:rPr>
          <w:rFonts w:ascii="Times New Roman" w:hAnsi="Times New Roman"/>
          <w:sz w:val="24"/>
          <w:u w:val="none"/>
        </w:rPr>
        <w:t>4.5.1.</w:t>
      </w:r>
      <w:r w:rsidRPr="007B1664">
        <w:rPr>
          <w:rFonts w:ascii="Times New Roman" w:hAnsi="Times New Roman"/>
          <w:sz w:val="24"/>
          <w:u w:val="none"/>
        </w:rPr>
        <w:tab/>
      </w:r>
      <w:r w:rsidRPr="007B1664">
        <w:rPr>
          <w:rFonts w:ascii="Times New Roman" w:hAnsi="Times New Roman"/>
          <w:sz w:val="24"/>
        </w:rPr>
        <w:t>Instruções relativas a colunas específicas</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B1B99" w:rsidRPr="007B1664" w14:paraId="38DB5AD0" w14:textId="77777777">
        <w:tc>
          <w:tcPr>
            <w:tcW w:w="1389" w:type="dxa"/>
            <w:shd w:val="clear" w:color="auto" w:fill="D9D9D9"/>
          </w:tcPr>
          <w:p w14:paraId="070D842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2C93B03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372FF373" w14:textId="77777777">
        <w:tc>
          <w:tcPr>
            <w:tcW w:w="1389" w:type="dxa"/>
          </w:tcPr>
          <w:p w14:paraId="52379F9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0010-0060</w:t>
            </w:r>
          </w:p>
        </w:tc>
        <w:tc>
          <w:tcPr>
            <w:tcW w:w="7620" w:type="dxa"/>
          </w:tcPr>
          <w:p w14:paraId="3AF1A53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dos depósitos próprios em numerário</w:t>
            </w:r>
          </w:p>
          <w:p w14:paraId="635C0E8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d), do Regulamento (UE) 2019/2033.</w:t>
            </w:r>
          </w:p>
          <w:p w14:paraId="5DA5A82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 empresa deve apresentar, se disponível, a identificação das cinco contrapartes, ou grupo de contrapartes ligadas entre si, em que estão depo</w:t>
            </w:r>
            <w:r w:rsidRPr="007B1664">
              <w:rPr>
                <w:rFonts w:ascii="Times New Roman" w:hAnsi="Times New Roman"/>
                <w:bCs/>
              </w:rPr>
              <w:t xml:space="preserve">sitados os maiores montantes de numerário da empresa. </w:t>
            </w:r>
          </w:p>
        </w:tc>
      </w:tr>
      <w:tr w:rsidR="000B1B99" w:rsidRPr="007B1664" w14:paraId="1E3D90A5" w14:textId="77777777">
        <w:tc>
          <w:tcPr>
            <w:tcW w:w="1389" w:type="dxa"/>
          </w:tcPr>
          <w:p w14:paraId="459B471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7103F02F" w14:textId="77777777" w:rsidR="000B1B99" w:rsidRPr="007B1664" w:rsidRDefault="007B1664">
            <w:pPr>
              <w:pStyle w:val="InstructionsText"/>
              <w:rPr>
                <w:rStyle w:val="InstructionsTabelleberschrift"/>
                <w:rFonts w:ascii="Times New Roman" w:hAnsi="Times New Roman"/>
                <w:sz w:val="22"/>
                <w:szCs w:val="22"/>
              </w:rPr>
            </w:pPr>
            <w:r w:rsidRPr="007B1664">
              <w:rPr>
                <w:rStyle w:val="InstructionsTabelleberschrift"/>
                <w:rFonts w:ascii="Times New Roman" w:hAnsi="Times New Roman"/>
                <w:sz w:val="22"/>
                <w:szCs w:val="22"/>
              </w:rPr>
              <w:t>Código</w:t>
            </w:r>
          </w:p>
          <w:p w14:paraId="3F22344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 xml:space="preserve">O código como parte de um identificador de linha tem de ser único para cada entidade que é objeto de comunicação de informações. Para as empresas de investimento e as empresas de </w:t>
            </w:r>
            <w:r w:rsidRPr="007B1664">
              <w:rPr>
                <w:rStyle w:val="FormatvorlageInstructionsTabelleText"/>
                <w:rFonts w:ascii="Times New Roman" w:hAnsi="Times New Roman"/>
                <w:sz w:val="22"/>
              </w:rPr>
              <w:t>seguros, o código é o código LEI. Para outras entidades, o código é o código LEI ou, quando não disponível, um código nacional. O código deve ser único e utilizado de forma coerente em todos os modelos e ao longo do tempo. O código deve ter sempre um valor</w:t>
            </w:r>
            <w:r w:rsidRPr="007B1664">
              <w:rPr>
                <w:rStyle w:val="FormatvorlageInstructionsTabelleText"/>
                <w:rFonts w:ascii="Times New Roman" w:hAnsi="Times New Roman"/>
                <w:sz w:val="22"/>
              </w:rPr>
              <w:t>.</w:t>
            </w:r>
          </w:p>
        </w:tc>
      </w:tr>
      <w:tr w:rsidR="000B1B99" w:rsidRPr="007B1664" w14:paraId="04F25A2E" w14:textId="77777777">
        <w:tc>
          <w:tcPr>
            <w:tcW w:w="1389" w:type="dxa"/>
          </w:tcPr>
          <w:p w14:paraId="3AE2CA8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Pr>
          <w:p w14:paraId="29808CEA" w14:textId="77777777" w:rsidR="000B1B99" w:rsidRPr="007B1664" w:rsidRDefault="007B1664">
            <w:pPr>
              <w:pStyle w:val="InstructionsText"/>
              <w:rPr>
                <w:rStyle w:val="InstructionsTabelleberschrift"/>
                <w:rFonts w:ascii="Times New Roman" w:eastAsiaTheme="minorHAnsi" w:hAnsi="Times New Roman"/>
                <w:bCs/>
                <w:sz w:val="22"/>
                <w:szCs w:val="22"/>
              </w:rPr>
            </w:pPr>
            <w:r w:rsidRPr="007B1664">
              <w:rPr>
                <w:rStyle w:val="InstructionsTabelleberschrift"/>
                <w:rFonts w:ascii="Times New Roman" w:hAnsi="Times New Roman"/>
                <w:sz w:val="22"/>
                <w:szCs w:val="22"/>
              </w:rPr>
              <w:t>Tipo de código</w:t>
            </w:r>
          </w:p>
          <w:p w14:paraId="43AAA7C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As empresas de investimento devem identificar o tipo de código comunicado na coluna 0010 como «tipo de código LEI» ou «tipo de código nacional».</w:t>
            </w:r>
          </w:p>
        </w:tc>
      </w:tr>
      <w:tr w:rsidR="000B1B99" w:rsidRPr="007B1664" w14:paraId="4F34F1BA" w14:textId="77777777">
        <w:tc>
          <w:tcPr>
            <w:tcW w:w="1389" w:type="dxa"/>
          </w:tcPr>
          <w:p w14:paraId="607A39A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4C01A1B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Nome</w:t>
            </w:r>
          </w:p>
          <w:p w14:paraId="75A4D2B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 xml:space="preserve">Sempre que a comunicação disser respeito a um grupo de </w:t>
            </w:r>
            <w:r w:rsidRPr="007B1664">
              <w:rPr>
                <w:rFonts w:ascii="Times New Roman" w:hAnsi="Times New Roman"/>
              </w:rPr>
              <w:t>contrapartes ligadas entre si, o nome deve corresponder ao nome da empresa-mãe. Nos restantes casos, o nome deve corresponder à contraparte individual.</w:t>
            </w:r>
          </w:p>
        </w:tc>
      </w:tr>
      <w:tr w:rsidR="000B1B99" w:rsidRPr="007B1664" w14:paraId="7FA11B89" w14:textId="77777777">
        <w:tc>
          <w:tcPr>
            <w:tcW w:w="1389" w:type="dxa"/>
          </w:tcPr>
          <w:p w14:paraId="3D2A436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Pr>
          <w:p w14:paraId="196900F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Grupo/individual</w:t>
            </w:r>
          </w:p>
          <w:p w14:paraId="6C57CEB0" w14:textId="77777777" w:rsidR="000B1B99" w:rsidRPr="007B1664" w:rsidRDefault="007B1664">
            <w:pPr>
              <w:pStyle w:val="Default"/>
              <w:spacing w:after="120"/>
              <w:jc w:val="both"/>
              <w:rPr>
                <w:sz w:val="22"/>
                <w:szCs w:val="22"/>
              </w:rPr>
            </w:pPr>
            <w:r w:rsidRPr="007B1664">
              <w:rPr>
                <w:sz w:val="22"/>
                <w:szCs w:val="22"/>
              </w:rPr>
              <w:t>A empresa deve comunicar «1» para as exposições sobre clientes individuais ou «2»</w:t>
            </w:r>
            <w:r w:rsidRPr="007B1664">
              <w:rPr>
                <w:sz w:val="22"/>
                <w:szCs w:val="22"/>
              </w:rPr>
              <w:t xml:space="preserve"> para as exposições sobre grupos de clientes ligados entre si. </w:t>
            </w:r>
          </w:p>
        </w:tc>
      </w:tr>
      <w:tr w:rsidR="000B1B99" w:rsidRPr="007B1664" w14:paraId="2375BFFD" w14:textId="77777777">
        <w:tc>
          <w:tcPr>
            <w:tcW w:w="1389" w:type="dxa"/>
          </w:tcPr>
          <w:p w14:paraId="62AA62A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Pr>
          <w:p w14:paraId="3D97CC0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Montante dos depósitos em numerário da empresa junto da instituição</w:t>
            </w:r>
          </w:p>
          <w:p w14:paraId="037B123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 empresa deve comunicar o montante total do numerário depositado em cada instituição na data de referência.</w:t>
            </w:r>
          </w:p>
        </w:tc>
      </w:tr>
      <w:tr w:rsidR="000B1B99" w:rsidRPr="007B1664" w14:paraId="18E526DD" w14:textId="77777777">
        <w:tc>
          <w:tcPr>
            <w:tcW w:w="1389" w:type="dxa"/>
          </w:tcPr>
          <w:p w14:paraId="77530CB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Pr>
          <w:p w14:paraId="481CF24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Percentagem dos depósitos em numerário da própria empresa na instituição</w:t>
            </w:r>
          </w:p>
          <w:p w14:paraId="198831A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A empresa deve comunicar o montante de numerário depositado na data de referência junto de cada uma das contrapartes ou grupos de contrapartes ligadas entre si em relação aos quais é </w:t>
            </w:r>
            <w:r w:rsidRPr="007B1664">
              <w:rPr>
                <w:rFonts w:ascii="Times New Roman" w:hAnsi="Times New Roman"/>
                <w:bCs/>
              </w:rPr>
              <w:t>efetuada a comunicação, expresso em percentagem do total de numerário da empresa de investimento.</w:t>
            </w:r>
          </w:p>
        </w:tc>
      </w:tr>
    </w:tbl>
    <w:p w14:paraId="2A10AE4C" w14:textId="77777777" w:rsidR="000B1B99" w:rsidRPr="007B1664" w:rsidRDefault="000B1B99">
      <w:pPr>
        <w:spacing w:after="0"/>
        <w:rPr>
          <w:rFonts w:ascii="Times New Roman" w:hAnsi="Times New Roman" w:cs="Times New Roman"/>
          <w:u w:val="single"/>
        </w:rPr>
      </w:pPr>
    </w:p>
    <w:p w14:paraId="5CFB746C" w14:textId="77777777" w:rsidR="000B1B99" w:rsidRPr="007B1664" w:rsidRDefault="007B1664">
      <w:pPr>
        <w:pStyle w:val="Instructionsberschrift2"/>
        <w:ind w:left="357" w:hanging="357"/>
        <w:rPr>
          <w:rFonts w:ascii="Times New Roman" w:hAnsi="Times New Roman" w:cs="Times New Roman"/>
          <w:sz w:val="24"/>
        </w:rPr>
      </w:pPr>
      <w:bookmarkStart w:id="92" w:name="_Toc88247712"/>
      <w:r w:rsidRPr="007B1664">
        <w:rPr>
          <w:rFonts w:ascii="Times New Roman" w:hAnsi="Times New Roman"/>
          <w:sz w:val="24"/>
        </w:rPr>
        <w:t>4.6. I 08.04 – NÍVEL DE RISCO DE CONCENTRAÇÃO - RECEITAS TOTAIS (I 8.4)</w:t>
      </w:r>
      <w:bookmarkEnd w:id="92"/>
    </w:p>
    <w:p w14:paraId="35AE32C5" w14:textId="77777777" w:rsidR="000B1B99" w:rsidRPr="007B1664" w:rsidRDefault="007B1664">
      <w:pPr>
        <w:pStyle w:val="Instructionsberschrift2"/>
        <w:ind w:left="357" w:hanging="357"/>
        <w:rPr>
          <w:rFonts w:ascii="Times New Roman" w:hAnsi="Times New Roman" w:cs="Times New Roman"/>
        </w:rPr>
      </w:pPr>
      <w:bookmarkStart w:id="93" w:name="_Toc88247713"/>
      <w:r w:rsidRPr="007B1664">
        <w:rPr>
          <w:rFonts w:ascii="Times New Roman" w:hAnsi="Times New Roman"/>
          <w:sz w:val="24"/>
          <w:u w:val="none"/>
        </w:rPr>
        <w:t>4.6.1.</w:t>
      </w:r>
      <w:r w:rsidRPr="007B1664">
        <w:rPr>
          <w:rFonts w:ascii="Times New Roman" w:hAnsi="Times New Roman"/>
          <w:sz w:val="24"/>
          <w:u w:val="none"/>
        </w:rPr>
        <w:tab/>
      </w:r>
      <w:r w:rsidRPr="007B1664">
        <w:rPr>
          <w:rFonts w:ascii="Times New Roman" w:hAnsi="Times New Roman"/>
          <w:sz w:val="24"/>
        </w:rPr>
        <w:t>Instruções relativas a colunas específicas</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B1B99" w:rsidRPr="007B1664" w14:paraId="7B1BC474" w14:textId="77777777">
        <w:tc>
          <w:tcPr>
            <w:tcW w:w="1389" w:type="dxa"/>
            <w:shd w:val="clear" w:color="auto" w:fill="D9D9D9"/>
          </w:tcPr>
          <w:p w14:paraId="76DE79B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4FF1677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 xml:space="preserve">Referências </w:t>
            </w:r>
            <w:r w:rsidRPr="007B1664">
              <w:rPr>
                <w:rFonts w:ascii="Times New Roman" w:hAnsi="Times New Roman"/>
              </w:rPr>
              <w:t>jurídicas e instruções</w:t>
            </w:r>
          </w:p>
        </w:tc>
      </w:tr>
      <w:tr w:rsidR="000B1B99" w:rsidRPr="007B1664" w14:paraId="11790ACF" w14:textId="77777777">
        <w:tc>
          <w:tcPr>
            <w:tcW w:w="1389" w:type="dxa"/>
          </w:tcPr>
          <w:p w14:paraId="734C901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0010-0080</w:t>
            </w:r>
          </w:p>
        </w:tc>
        <w:tc>
          <w:tcPr>
            <w:tcW w:w="7620" w:type="dxa"/>
          </w:tcPr>
          <w:p w14:paraId="5B41EA6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Receitas totais</w:t>
            </w:r>
          </w:p>
          <w:p w14:paraId="0AC93B1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alíneas e) e f), do Regulamento (UE) 2019/2033.</w:t>
            </w:r>
          </w:p>
          <w:p w14:paraId="64EDCA5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lastRenderedPageBreak/>
              <w:t xml:space="preserve">A empresa deve apresentar, se disponível, a identificação das cinco contrapartes ou grupo de contrapartes ligadas entre si que estão na </w:t>
            </w:r>
            <w:r w:rsidRPr="007B1664">
              <w:rPr>
                <w:rFonts w:ascii="Times New Roman" w:hAnsi="Times New Roman"/>
                <w:bCs/>
              </w:rPr>
              <w:t>origem dos maiores montantes de receitas da empresa.</w:t>
            </w:r>
          </w:p>
        </w:tc>
      </w:tr>
      <w:tr w:rsidR="000B1B99" w:rsidRPr="007B1664" w14:paraId="11A0B094" w14:textId="77777777">
        <w:tc>
          <w:tcPr>
            <w:tcW w:w="1389" w:type="dxa"/>
          </w:tcPr>
          <w:p w14:paraId="6BA0637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0010</w:t>
            </w:r>
          </w:p>
        </w:tc>
        <w:tc>
          <w:tcPr>
            <w:tcW w:w="7620" w:type="dxa"/>
          </w:tcPr>
          <w:p w14:paraId="0313C164" w14:textId="77777777" w:rsidR="000B1B99" w:rsidRPr="007B1664" w:rsidRDefault="007B1664">
            <w:pPr>
              <w:pStyle w:val="InstructionsText"/>
              <w:rPr>
                <w:rStyle w:val="InstructionsTabelleberschrift"/>
                <w:rFonts w:ascii="Times New Roman" w:hAnsi="Times New Roman"/>
                <w:sz w:val="22"/>
                <w:szCs w:val="22"/>
              </w:rPr>
            </w:pPr>
            <w:r w:rsidRPr="007B1664">
              <w:rPr>
                <w:rStyle w:val="InstructionsTabelleberschrift"/>
                <w:rFonts w:ascii="Times New Roman" w:hAnsi="Times New Roman"/>
                <w:sz w:val="22"/>
                <w:szCs w:val="22"/>
              </w:rPr>
              <w:t>Código</w:t>
            </w:r>
          </w:p>
          <w:p w14:paraId="27EEDCFD" w14:textId="77777777" w:rsidR="000B1B99" w:rsidRPr="007B1664" w:rsidRDefault="007B1664">
            <w:pPr>
              <w:spacing w:after="120" w:line="240" w:lineRule="auto"/>
              <w:jc w:val="both"/>
              <w:rPr>
                <w:rFonts w:ascii="Times New Roman" w:eastAsia="Times New Roman" w:hAnsi="Times New Roman" w:cs="Times New Roman"/>
                <w:bCs/>
              </w:rPr>
            </w:pPr>
            <w:r w:rsidRPr="007B1664">
              <w:rPr>
                <w:rStyle w:val="FormatvorlageInstructionsTabelleText"/>
                <w:rFonts w:ascii="Times New Roman" w:hAnsi="Times New Roman"/>
                <w:sz w:val="22"/>
              </w:rPr>
              <w:t xml:space="preserve">O código como parte de um identificador de linha tem de ser único para cada entidade que é objeto de comunicação de informações. Para as empresas de investimento e as empresas de seguros, o </w:t>
            </w:r>
            <w:r w:rsidRPr="007B1664">
              <w:rPr>
                <w:rStyle w:val="FormatvorlageInstructionsTabelleText"/>
                <w:rFonts w:ascii="Times New Roman" w:hAnsi="Times New Roman"/>
                <w:sz w:val="22"/>
              </w:rPr>
              <w:t>código é o código LEI. Para outras entidades, o código é o código LEI ou, quando não disponível, um código nacional. O código deve ser único e utilizado de forma coerente em todos os modelos e ao longo do tempo. O código deve ter sempre um valor.</w:t>
            </w:r>
          </w:p>
        </w:tc>
      </w:tr>
      <w:tr w:rsidR="000B1B99" w:rsidRPr="007B1664" w14:paraId="40A779E8" w14:textId="77777777">
        <w:tc>
          <w:tcPr>
            <w:tcW w:w="1389" w:type="dxa"/>
          </w:tcPr>
          <w:p w14:paraId="5CA2E00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Pr>
          <w:p w14:paraId="6F784FB7" w14:textId="77777777" w:rsidR="000B1B99" w:rsidRPr="007B1664" w:rsidRDefault="007B1664">
            <w:pPr>
              <w:pStyle w:val="InstructionsText"/>
              <w:rPr>
                <w:rStyle w:val="InstructionsTabelleberschrift"/>
                <w:rFonts w:ascii="Times New Roman" w:hAnsi="Times New Roman"/>
                <w:sz w:val="22"/>
                <w:szCs w:val="22"/>
              </w:rPr>
            </w:pPr>
            <w:r w:rsidRPr="007B1664">
              <w:rPr>
                <w:rStyle w:val="InstructionsTabelleberschrift"/>
                <w:rFonts w:ascii="Times New Roman" w:hAnsi="Times New Roman"/>
                <w:sz w:val="22"/>
                <w:szCs w:val="22"/>
              </w:rPr>
              <w:t>Tipo de código</w:t>
            </w:r>
          </w:p>
          <w:p w14:paraId="7597190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As empresas de investimento devem identificar o tipo de código comunicado na coluna 0010 como «tipo de código LEI» ou «tipo de código nacional».</w:t>
            </w:r>
          </w:p>
        </w:tc>
      </w:tr>
      <w:tr w:rsidR="000B1B99" w:rsidRPr="007B1664" w14:paraId="12814A07" w14:textId="77777777">
        <w:tc>
          <w:tcPr>
            <w:tcW w:w="1389" w:type="dxa"/>
          </w:tcPr>
          <w:p w14:paraId="73FC8FD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3B2663A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Nome</w:t>
            </w:r>
          </w:p>
          <w:p w14:paraId="4AC8C02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Sempre que a comunicação disser respeito a um grupo de clientes ligados entre si, o n</w:t>
            </w:r>
            <w:r w:rsidRPr="007B1664">
              <w:rPr>
                <w:rFonts w:ascii="Times New Roman" w:hAnsi="Times New Roman"/>
              </w:rPr>
              <w:t>ome deve corresponder ao nome da empresa-mãe. Nos restantes casos, o nome deve corresponder ao cliente em causa.</w:t>
            </w:r>
          </w:p>
        </w:tc>
      </w:tr>
      <w:tr w:rsidR="000B1B99" w:rsidRPr="007B1664" w14:paraId="7FA99D24" w14:textId="77777777">
        <w:tc>
          <w:tcPr>
            <w:tcW w:w="1389" w:type="dxa"/>
          </w:tcPr>
          <w:p w14:paraId="0501B38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Pr>
          <w:p w14:paraId="2D520D3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Grupo/individual</w:t>
            </w:r>
          </w:p>
          <w:p w14:paraId="3FD23E3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A empresa deve comunicar «1» para as exposições sobre clientes individuais ou «2» para as exposições sobre grupos de cli</w:t>
            </w:r>
            <w:r w:rsidRPr="007B1664">
              <w:rPr>
                <w:rFonts w:ascii="Times New Roman" w:hAnsi="Times New Roman"/>
              </w:rPr>
              <w:t>entes ligados entre si.</w:t>
            </w:r>
          </w:p>
        </w:tc>
      </w:tr>
      <w:tr w:rsidR="000B1B99" w:rsidRPr="007B1664" w14:paraId="1E2C7CB7" w14:textId="77777777">
        <w:tc>
          <w:tcPr>
            <w:tcW w:w="1389" w:type="dxa"/>
          </w:tcPr>
          <w:p w14:paraId="28FE742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Pr>
          <w:p w14:paraId="44B9C7D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das receitas provenientes deste cliente</w:t>
            </w:r>
          </w:p>
          <w:p w14:paraId="26336EC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 empresa deve comunicar as receitas totais por cliente ou grupo de clientes ligados entre si geradas desde o início do exercício contabilístico. As receitas devem ser discriminada</w:t>
            </w:r>
            <w:r w:rsidRPr="007B1664">
              <w:rPr>
                <w:rFonts w:ascii="Times New Roman" w:hAnsi="Times New Roman"/>
                <w:bCs/>
              </w:rPr>
              <w:t>s, por um lado, por rendimentos de juros e de dividendos e, por outro, por rendimentos de remunerações e comissões e outros rendimentos.</w:t>
            </w:r>
          </w:p>
        </w:tc>
      </w:tr>
      <w:tr w:rsidR="000B1B99" w:rsidRPr="007B1664" w14:paraId="5A671C3B" w14:textId="77777777">
        <w:tc>
          <w:tcPr>
            <w:tcW w:w="1389" w:type="dxa"/>
          </w:tcPr>
          <w:p w14:paraId="2BB93E77"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 – 0090</w:t>
            </w:r>
          </w:p>
        </w:tc>
        <w:tc>
          <w:tcPr>
            <w:tcW w:w="7620" w:type="dxa"/>
          </w:tcPr>
          <w:p w14:paraId="7C9E27B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Rendimentos de juros e dividendos</w:t>
            </w:r>
          </w:p>
        </w:tc>
      </w:tr>
      <w:tr w:rsidR="000B1B99" w:rsidRPr="007B1664" w14:paraId="37EDC953" w14:textId="77777777">
        <w:tc>
          <w:tcPr>
            <w:tcW w:w="1389" w:type="dxa"/>
          </w:tcPr>
          <w:p w14:paraId="40B2E17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0060 </w:t>
            </w:r>
          </w:p>
        </w:tc>
        <w:tc>
          <w:tcPr>
            <w:tcW w:w="7620" w:type="dxa"/>
          </w:tcPr>
          <w:p w14:paraId="298090D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Rendimentos de juros e dividendos - Montante gerado por </w:t>
            </w:r>
            <w:r w:rsidRPr="007B1664">
              <w:rPr>
                <w:rFonts w:ascii="Times New Roman" w:hAnsi="Times New Roman"/>
                <w:b/>
                <w:bCs/>
                <w:u w:val="single"/>
              </w:rPr>
              <w:t>posições na carteira de negociação</w:t>
            </w:r>
          </w:p>
          <w:p w14:paraId="444220B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Carteira de negociação definida no artigo 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ponto 54, do Regulamento (UE) 2019/2033. </w:t>
            </w:r>
          </w:p>
        </w:tc>
      </w:tr>
      <w:tr w:rsidR="000B1B99" w:rsidRPr="007B1664" w14:paraId="7AFB8CBA" w14:textId="77777777">
        <w:tc>
          <w:tcPr>
            <w:tcW w:w="1389" w:type="dxa"/>
          </w:tcPr>
          <w:p w14:paraId="38513B8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0070</w:t>
            </w:r>
          </w:p>
        </w:tc>
        <w:tc>
          <w:tcPr>
            <w:tcW w:w="7620" w:type="dxa"/>
          </w:tcPr>
          <w:p w14:paraId="1F64D99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Rendimentos de juros e de dividendos - Montante gerado por posições extra carteira de negociação</w:t>
            </w:r>
          </w:p>
        </w:tc>
      </w:tr>
      <w:tr w:rsidR="000B1B99" w:rsidRPr="007B1664" w14:paraId="5D6CAA7A" w14:textId="77777777">
        <w:tc>
          <w:tcPr>
            <w:tcW w:w="1389" w:type="dxa"/>
          </w:tcPr>
          <w:p w14:paraId="1F52C1D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0080</w:t>
            </w:r>
          </w:p>
        </w:tc>
        <w:tc>
          <w:tcPr>
            <w:tcW w:w="7620" w:type="dxa"/>
          </w:tcPr>
          <w:p w14:paraId="44E3422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Rendimentos de j</w:t>
            </w:r>
            <w:r w:rsidRPr="007B1664">
              <w:rPr>
                <w:rFonts w:ascii="Times New Roman" w:hAnsi="Times New Roman"/>
                <w:b/>
                <w:bCs/>
                <w:u w:val="single"/>
              </w:rPr>
              <w:t>uros e dividendos - sendo: montante gerado a partir de elementos extrapatrimoniais</w:t>
            </w:r>
          </w:p>
        </w:tc>
      </w:tr>
      <w:tr w:rsidR="000B1B99" w:rsidRPr="007B1664" w14:paraId="3AE70B18" w14:textId="77777777">
        <w:tc>
          <w:tcPr>
            <w:tcW w:w="1389" w:type="dxa"/>
          </w:tcPr>
          <w:p w14:paraId="2CD4F6E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0090</w:t>
            </w:r>
          </w:p>
        </w:tc>
        <w:tc>
          <w:tcPr>
            <w:tcW w:w="7620" w:type="dxa"/>
          </w:tcPr>
          <w:p w14:paraId="01106A3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Percentagem dos rendimentos de juros e dividendos provenientes deste cliente</w:t>
            </w:r>
          </w:p>
          <w:p w14:paraId="6DC85EB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 empresa deve comunicar os rendimentos de juros e dividendos gerados por cada um dos clie</w:t>
            </w:r>
            <w:r w:rsidRPr="007B1664">
              <w:rPr>
                <w:rFonts w:ascii="Times New Roman" w:hAnsi="Times New Roman"/>
                <w:bCs/>
              </w:rPr>
              <w:t>ntes ou grupos de clientes ligados entre si, expressos em percentagem do total dos rendimentos de juros e dividendos da empresa de investimento.</w:t>
            </w:r>
          </w:p>
        </w:tc>
      </w:tr>
      <w:tr w:rsidR="000B1B99" w:rsidRPr="007B1664" w14:paraId="43EAFA07" w14:textId="77777777">
        <w:tc>
          <w:tcPr>
            <w:tcW w:w="1389" w:type="dxa"/>
          </w:tcPr>
          <w:p w14:paraId="4CA170F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0100 – 0110</w:t>
            </w:r>
          </w:p>
        </w:tc>
        <w:tc>
          <w:tcPr>
            <w:tcW w:w="7620" w:type="dxa"/>
          </w:tcPr>
          <w:p w14:paraId="68774DA7"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Remunerações e comissões e outros rendimentos</w:t>
            </w:r>
          </w:p>
        </w:tc>
      </w:tr>
      <w:tr w:rsidR="000B1B99" w:rsidRPr="007B1664" w14:paraId="19370324" w14:textId="77777777">
        <w:tc>
          <w:tcPr>
            <w:tcW w:w="1389" w:type="dxa"/>
          </w:tcPr>
          <w:p w14:paraId="2886A9C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0100 </w:t>
            </w:r>
          </w:p>
        </w:tc>
        <w:tc>
          <w:tcPr>
            <w:tcW w:w="7620" w:type="dxa"/>
          </w:tcPr>
          <w:p w14:paraId="512BD27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Remunerações e comissões e outros rendimentos - Montante </w:t>
            </w:r>
          </w:p>
        </w:tc>
      </w:tr>
      <w:tr w:rsidR="000B1B99" w:rsidRPr="007B1664" w14:paraId="38E64BB3" w14:textId="77777777">
        <w:tc>
          <w:tcPr>
            <w:tcW w:w="1389" w:type="dxa"/>
          </w:tcPr>
          <w:p w14:paraId="6E804DF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0110</w:t>
            </w:r>
          </w:p>
        </w:tc>
        <w:tc>
          <w:tcPr>
            <w:tcW w:w="7620" w:type="dxa"/>
          </w:tcPr>
          <w:p w14:paraId="4B3C37C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Percentagem de remunerações e comissões e outros rendimentos provenientes deste cliente</w:t>
            </w:r>
          </w:p>
          <w:p w14:paraId="6033A8F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 empresa deve comunicar as remunerações e comissões e outros rendimentos gerados por cada um dos client</w:t>
            </w:r>
            <w:r w:rsidRPr="007B1664">
              <w:rPr>
                <w:rFonts w:ascii="Times New Roman" w:hAnsi="Times New Roman"/>
                <w:bCs/>
              </w:rPr>
              <w:t xml:space="preserve">es ou grupos de clientes ligados entre si, expressos em </w:t>
            </w:r>
            <w:r w:rsidRPr="007B1664">
              <w:rPr>
                <w:rFonts w:ascii="Times New Roman" w:hAnsi="Times New Roman"/>
                <w:bCs/>
              </w:rPr>
              <w:lastRenderedPageBreak/>
              <w:t>percentagem do total das remunerações e comissões e outros rendimentos da empresa de investimento.</w:t>
            </w:r>
          </w:p>
        </w:tc>
      </w:tr>
    </w:tbl>
    <w:p w14:paraId="75F2D370" w14:textId="77777777" w:rsidR="000B1B99" w:rsidRPr="007B1664" w:rsidRDefault="000B1B99">
      <w:pPr>
        <w:spacing w:after="0"/>
        <w:rPr>
          <w:rFonts w:ascii="Times New Roman" w:hAnsi="Times New Roman" w:cs="Times New Roman"/>
          <w:u w:val="single"/>
        </w:rPr>
      </w:pPr>
    </w:p>
    <w:p w14:paraId="7FA65F7A" w14:textId="77777777" w:rsidR="000B1B99" w:rsidRPr="007B1664" w:rsidRDefault="007B1664">
      <w:pPr>
        <w:pStyle w:val="Instructionsberschrift2"/>
        <w:ind w:left="357" w:hanging="357"/>
        <w:rPr>
          <w:rFonts w:ascii="Times New Roman" w:hAnsi="Times New Roman" w:cs="Times New Roman"/>
          <w:sz w:val="24"/>
        </w:rPr>
      </w:pPr>
      <w:bookmarkStart w:id="94" w:name="_Toc88247714"/>
      <w:r w:rsidRPr="007B1664">
        <w:rPr>
          <w:rFonts w:ascii="Times New Roman" w:hAnsi="Times New Roman"/>
          <w:sz w:val="24"/>
        </w:rPr>
        <w:t>4.7.</w:t>
      </w:r>
      <w:r w:rsidRPr="007B1664">
        <w:rPr>
          <w:rFonts w:ascii="Times New Roman" w:hAnsi="Times New Roman"/>
          <w:sz w:val="24"/>
          <w:u w:val="none"/>
        </w:rPr>
        <w:t xml:space="preserve"> </w:t>
      </w:r>
      <w:r w:rsidRPr="007B1664">
        <w:rPr>
          <w:rFonts w:ascii="Times New Roman" w:hAnsi="Times New Roman"/>
          <w:sz w:val="24"/>
        </w:rPr>
        <w:t>I 08.05 — EXPOSIÇÕES DA CARTEIRA DE NEGOCIAÇÃO (I 8.5)</w:t>
      </w:r>
      <w:bookmarkEnd w:id="94"/>
    </w:p>
    <w:p w14:paraId="2CA9CBD3" w14:textId="77777777" w:rsidR="000B1B99" w:rsidRPr="007B1664" w:rsidRDefault="007B1664">
      <w:pPr>
        <w:pStyle w:val="Instructionsberschrift2"/>
        <w:ind w:left="357" w:hanging="357"/>
        <w:rPr>
          <w:rFonts w:ascii="Times New Roman" w:hAnsi="Times New Roman" w:cs="Times New Roman"/>
        </w:rPr>
      </w:pPr>
      <w:bookmarkStart w:id="95" w:name="_Toc88247715"/>
      <w:r w:rsidRPr="007B1664">
        <w:rPr>
          <w:rFonts w:ascii="Times New Roman" w:hAnsi="Times New Roman"/>
          <w:sz w:val="24"/>
          <w:u w:val="none"/>
        </w:rPr>
        <w:t>4.7.1.</w:t>
      </w:r>
      <w:r w:rsidRPr="007B1664">
        <w:rPr>
          <w:rFonts w:ascii="Times New Roman" w:hAnsi="Times New Roman"/>
          <w:sz w:val="24"/>
          <w:u w:val="none"/>
        </w:rPr>
        <w:tab/>
      </w:r>
      <w:r w:rsidRPr="007B1664">
        <w:rPr>
          <w:rFonts w:ascii="Times New Roman" w:hAnsi="Times New Roman"/>
          <w:sz w:val="24"/>
        </w:rPr>
        <w:t>Instruções relativas a colunas e</w:t>
      </w:r>
      <w:r w:rsidRPr="007B1664">
        <w:rPr>
          <w:rFonts w:ascii="Times New Roman" w:hAnsi="Times New Roman"/>
          <w:sz w:val="24"/>
        </w:rPr>
        <w:t>specíficas</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B1B99" w:rsidRPr="007B1664" w14:paraId="5F688FEB" w14:textId="77777777">
        <w:tc>
          <w:tcPr>
            <w:tcW w:w="1389" w:type="dxa"/>
            <w:shd w:val="clear" w:color="auto" w:fill="D9D9D9"/>
          </w:tcPr>
          <w:p w14:paraId="08FD24E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Colunas</w:t>
            </w:r>
          </w:p>
        </w:tc>
        <w:tc>
          <w:tcPr>
            <w:tcW w:w="7620" w:type="dxa"/>
            <w:shd w:val="clear" w:color="auto" w:fill="D9D9D9"/>
          </w:tcPr>
          <w:p w14:paraId="727DCE8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7749CF0C" w14:textId="77777777">
        <w:tc>
          <w:tcPr>
            <w:tcW w:w="1389" w:type="dxa"/>
          </w:tcPr>
          <w:p w14:paraId="49660ED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0010-0050</w:t>
            </w:r>
          </w:p>
        </w:tc>
        <w:tc>
          <w:tcPr>
            <w:tcW w:w="7620" w:type="dxa"/>
          </w:tcPr>
          <w:p w14:paraId="6B548AE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Exposições da carteira de negociação</w:t>
            </w:r>
          </w:p>
          <w:p w14:paraId="256275C0"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a), do Regulamento (UE) 2019/2033.</w:t>
            </w:r>
          </w:p>
          <w:p w14:paraId="4D4BFD8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 xml:space="preserve">A empresa deve comunicar informações relativas às cinco maiores exposições da </w:t>
            </w:r>
            <w:r w:rsidRPr="007B1664">
              <w:rPr>
                <w:rFonts w:ascii="Times New Roman" w:hAnsi="Times New Roman"/>
                <w:bCs/>
              </w:rPr>
              <w:t>carteira de negociação, se disponíveis.</w:t>
            </w:r>
          </w:p>
        </w:tc>
      </w:tr>
      <w:tr w:rsidR="000B1B99" w:rsidRPr="007B1664" w14:paraId="65BB1E79" w14:textId="77777777">
        <w:tc>
          <w:tcPr>
            <w:tcW w:w="1389" w:type="dxa"/>
          </w:tcPr>
          <w:p w14:paraId="6599099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3B1237BB" w14:textId="77777777" w:rsidR="000B1B99" w:rsidRPr="007B1664" w:rsidRDefault="007B1664">
            <w:pPr>
              <w:pStyle w:val="InstructionsText"/>
              <w:rPr>
                <w:rStyle w:val="InstructionsTabelleberschrift"/>
                <w:rFonts w:ascii="Times New Roman" w:hAnsi="Times New Roman"/>
                <w:sz w:val="22"/>
                <w:szCs w:val="22"/>
              </w:rPr>
            </w:pPr>
            <w:r w:rsidRPr="007B1664">
              <w:rPr>
                <w:rStyle w:val="InstructionsTabelleberschrift"/>
                <w:rFonts w:ascii="Times New Roman" w:hAnsi="Times New Roman"/>
                <w:sz w:val="22"/>
                <w:szCs w:val="22"/>
              </w:rPr>
              <w:t>Código</w:t>
            </w:r>
          </w:p>
          <w:p w14:paraId="44F0D22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Style w:val="FormatvorlageInstructionsTabelleText"/>
                <w:rFonts w:ascii="Times New Roman" w:hAnsi="Times New Roman"/>
                <w:sz w:val="22"/>
              </w:rPr>
              <w:t>O código como parte de um identificador de linha tem de ser único para cada entidade que é objeto de comunicação de informações. Para as empresas de investimento e as empresas de seguros, o código é o có</w:t>
            </w:r>
            <w:r w:rsidRPr="007B1664">
              <w:rPr>
                <w:rStyle w:val="FormatvorlageInstructionsTabelleText"/>
                <w:rFonts w:ascii="Times New Roman" w:hAnsi="Times New Roman"/>
                <w:sz w:val="22"/>
              </w:rPr>
              <w:t>digo LEI. Para outras entidades, o código é o código LEI ou, quando não disponível, um código nacional. O código deve ser único e utilizado de forma coerente em todos os modelos e ao longo do tempo. O código deve ter sempre um valor.</w:t>
            </w:r>
          </w:p>
        </w:tc>
      </w:tr>
      <w:tr w:rsidR="000B1B99" w:rsidRPr="007B1664" w14:paraId="03A3D813" w14:textId="77777777">
        <w:tc>
          <w:tcPr>
            <w:tcW w:w="1389" w:type="dxa"/>
          </w:tcPr>
          <w:p w14:paraId="568CEEE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Pr>
          <w:p w14:paraId="77B62A25" w14:textId="77777777" w:rsidR="000B1B99" w:rsidRPr="007B1664" w:rsidRDefault="007B1664">
            <w:pPr>
              <w:pStyle w:val="InstructionsText"/>
              <w:rPr>
                <w:rStyle w:val="InstructionsTabelleberschrift"/>
                <w:rFonts w:ascii="Times New Roman" w:hAnsi="Times New Roman"/>
                <w:sz w:val="22"/>
                <w:szCs w:val="22"/>
              </w:rPr>
            </w:pPr>
            <w:r w:rsidRPr="007B1664">
              <w:rPr>
                <w:rStyle w:val="InstructionsTabelleberschrift"/>
                <w:rFonts w:ascii="Times New Roman" w:hAnsi="Times New Roman"/>
                <w:sz w:val="22"/>
                <w:szCs w:val="22"/>
              </w:rPr>
              <w:t xml:space="preserve">Tipo de </w:t>
            </w:r>
            <w:r w:rsidRPr="007B1664">
              <w:rPr>
                <w:rStyle w:val="InstructionsTabelleberschrift"/>
                <w:rFonts w:ascii="Times New Roman" w:hAnsi="Times New Roman"/>
                <w:sz w:val="22"/>
                <w:szCs w:val="22"/>
              </w:rPr>
              <w:t>código</w:t>
            </w:r>
          </w:p>
          <w:p w14:paraId="227BD4E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As empresas de investimento devem identificar o tipo de código comunicado na coluna 0010 como «tipo de código LEI» ou «tipo de código nacional».</w:t>
            </w:r>
          </w:p>
        </w:tc>
      </w:tr>
      <w:tr w:rsidR="000B1B99" w:rsidRPr="007B1664" w14:paraId="4EE3DCAF" w14:textId="77777777">
        <w:tc>
          <w:tcPr>
            <w:tcW w:w="1389" w:type="dxa"/>
          </w:tcPr>
          <w:p w14:paraId="3FA4F3D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362A8B7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Nome</w:t>
            </w:r>
          </w:p>
          <w:p w14:paraId="1936303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 xml:space="preserve">Sempre que a comunicação disser respeito a um grupo de contrapartes ligadas entre si, o nome </w:t>
            </w:r>
            <w:r w:rsidRPr="007B1664">
              <w:rPr>
                <w:rFonts w:ascii="Times New Roman" w:hAnsi="Times New Roman"/>
              </w:rPr>
              <w:t>deve corresponder ao nome da empresa-mãe. Nos restantes casos, o nome deve corresponder à contraparte individual.</w:t>
            </w:r>
          </w:p>
        </w:tc>
      </w:tr>
      <w:tr w:rsidR="000B1B99" w:rsidRPr="007B1664" w14:paraId="6BCB305B" w14:textId="77777777">
        <w:tc>
          <w:tcPr>
            <w:tcW w:w="1389" w:type="dxa"/>
          </w:tcPr>
          <w:p w14:paraId="1695FC5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0040</w:t>
            </w:r>
          </w:p>
        </w:tc>
        <w:tc>
          <w:tcPr>
            <w:tcW w:w="7620" w:type="dxa"/>
          </w:tcPr>
          <w:p w14:paraId="12FE7C7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Grupo/individual</w:t>
            </w:r>
          </w:p>
          <w:p w14:paraId="47FA639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rPr>
              <w:t>A empresa deve comunicar «1» para as exposições sobre clientes individuais ou «2» para as exposições sobre grupos de cl</w:t>
            </w:r>
            <w:r w:rsidRPr="007B1664">
              <w:rPr>
                <w:rFonts w:ascii="Times New Roman" w:hAnsi="Times New Roman"/>
              </w:rPr>
              <w:t>ientes ligados entre si.</w:t>
            </w:r>
          </w:p>
        </w:tc>
      </w:tr>
      <w:tr w:rsidR="000B1B99" w:rsidRPr="007B1664" w14:paraId="041CD8E9" w14:textId="77777777">
        <w:tc>
          <w:tcPr>
            <w:tcW w:w="1389" w:type="dxa"/>
          </w:tcPr>
          <w:p w14:paraId="6D0AFC1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Pr>
          <w:p w14:paraId="59768B1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Percentagem da exposição a esta contraparte relativamente aos fundos próprios da empresa (só posições da carteira de negociação)</w:t>
            </w:r>
          </w:p>
          <w:p w14:paraId="33C4131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 empresa deve comunicar as exposições da carteira de negociação na data de referência de cada u</w:t>
            </w:r>
            <w:r w:rsidRPr="007B1664">
              <w:rPr>
                <w:rFonts w:ascii="Times New Roman" w:hAnsi="Times New Roman"/>
                <w:bCs/>
              </w:rPr>
              <w:t>ma das contrapartes ou grupos de contrapartes ligadas entre si em relação aos quais é efetuada a comunicação, expressas em percentagem dos fundos próprios.</w:t>
            </w:r>
          </w:p>
        </w:tc>
      </w:tr>
    </w:tbl>
    <w:p w14:paraId="61BA12AC" w14:textId="77777777" w:rsidR="000B1B99" w:rsidRPr="007B1664" w:rsidRDefault="000B1B99">
      <w:pPr>
        <w:spacing w:after="0"/>
        <w:rPr>
          <w:rFonts w:ascii="Times New Roman" w:hAnsi="Times New Roman" w:cs="Times New Roman"/>
          <w:u w:val="single"/>
        </w:rPr>
      </w:pPr>
    </w:p>
    <w:p w14:paraId="3A6B3AE2" w14:textId="77777777" w:rsidR="000B1B99" w:rsidRPr="007B1664" w:rsidRDefault="007B1664">
      <w:pPr>
        <w:pStyle w:val="Instructionsberschrift2"/>
        <w:ind w:left="357" w:hanging="357"/>
        <w:rPr>
          <w:rFonts w:ascii="Times New Roman" w:hAnsi="Times New Roman" w:cs="Times New Roman"/>
          <w:sz w:val="24"/>
        </w:rPr>
      </w:pPr>
      <w:bookmarkStart w:id="96" w:name="_Toc88247716"/>
      <w:r w:rsidRPr="007B1664">
        <w:rPr>
          <w:rFonts w:ascii="Times New Roman" w:hAnsi="Times New Roman"/>
          <w:sz w:val="24"/>
        </w:rPr>
        <w:t xml:space="preserve">4.8. I 08.06 – ELEMENTOS EXTRA CARTEIRA DE NEGOCIAÇÃO E ELEMENTOS </w:t>
      </w:r>
      <w:r w:rsidRPr="007B1664">
        <w:rPr>
          <w:rFonts w:ascii="Times New Roman" w:hAnsi="Times New Roman"/>
          <w:sz w:val="24"/>
        </w:rPr>
        <w:t>EXTRAPATRIMONIAIS (I 8.6)</w:t>
      </w:r>
      <w:bookmarkEnd w:id="96"/>
    </w:p>
    <w:p w14:paraId="3EBEC73E" w14:textId="77777777" w:rsidR="000B1B99" w:rsidRPr="007B1664" w:rsidRDefault="007B1664">
      <w:pPr>
        <w:pStyle w:val="Instructionsberschrift2"/>
        <w:ind w:left="357" w:hanging="357"/>
        <w:rPr>
          <w:rFonts w:ascii="Times New Roman" w:hAnsi="Times New Roman" w:cs="Times New Roman"/>
        </w:rPr>
      </w:pPr>
      <w:bookmarkStart w:id="97" w:name="_Toc88247717"/>
      <w:r w:rsidRPr="007B1664">
        <w:rPr>
          <w:rFonts w:ascii="Times New Roman" w:hAnsi="Times New Roman"/>
          <w:sz w:val="24"/>
          <w:u w:val="none"/>
        </w:rPr>
        <w:t>4.8.1.</w:t>
      </w:r>
      <w:r w:rsidRPr="007B1664">
        <w:rPr>
          <w:rFonts w:ascii="Times New Roman" w:hAnsi="Times New Roman"/>
          <w:sz w:val="24"/>
          <w:u w:val="none"/>
        </w:rPr>
        <w:tab/>
      </w:r>
      <w:r w:rsidRPr="007B1664">
        <w:rPr>
          <w:rFonts w:ascii="Times New Roman" w:hAnsi="Times New Roman"/>
          <w:sz w:val="24"/>
        </w:rPr>
        <w:t>Instruções relativas a colunas específicas</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0B1B99" w:rsidRPr="007B1664" w14:paraId="64932E01" w14:textId="77777777">
        <w:tc>
          <w:tcPr>
            <w:tcW w:w="1389" w:type="dxa"/>
            <w:shd w:val="clear" w:color="auto" w:fill="D9D9D9"/>
          </w:tcPr>
          <w:p w14:paraId="37EE78E1"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4"/>
              </w:rPr>
              <w:t>Colunas</w:t>
            </w:r>
          </w:p>
        </w:tc>
        <w:tc>
          <w:tcPr>
            <w:tcW w:w="7620" w:type="dxa"/>
            <w:shd w:val="clear" w:color="auto" w:fill="D9D9D9"/>
          </w:tcPr>
          <w:p w14:paraId="52A02408"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4"/>
              </w:rPr>
              <w:t>Referências jurídicas e instruções</w:t>
            </w:r>
          </w:p>
        </w:tc>
      </w:tr>
      <w:tr w:rsidR="000B1B99" w:rsidRPr="007B1664" w14:paraId="31B0A034" w14:textId="77777777">
        <w:tc>
          <w:tcPr>
            <w:tcW w:w="1389" w:type="dxa"/>
          </w:tcPr>
          <w:p w14:paraId="7D58DA2A"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0010-0050</w:t>
            </w:r>
          </w:p>
        </w:tc>
        <w:tc>
          <w:tcPr>
            <w:tcW w:w="7620" w:type="dxa"/>
          </w:tcPr>
          <w:p w14:paraId="54B67C7C"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Elementos extra carteira de negociação e elementos extrapatrimoniais</w:t>
            </w:r>
          </w:p>
          <w:p w14:paraId="77D28B5E"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rPr>
              <w:t>Artigo 54.</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2, alínea f), do Regulamento (UE) </w:t>
            </w:r>
            <w:r w:rsidRPr="007B1664">
              <w:rPr>
                <w:rFonts w:ascii="Times New Roman" w:hAnsi="Times New Roman"/>
                <w:bCs/>
              </w:rPr>
              <w:t>2019/2033.</w:t>
            </w:r>
          </w:p>
          <w:p w14:paraId="63398BAF"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Cs/>
                <w:szCs w:val="24"/>
              </w:rPr>
              <w:lastRenderedPageBreak/>
              <w:t>A empresa deve apresentar informações relativas às cinco maiores exposições, se disponíveis, com inclusão dos ativos não registados na carteira de negociação.</w:t>
            </w:r>
          </w:p>
        </w:tc>
      </w:tr>
      <w:tr w:rsidR="000B1B99" w:rsidRPr="007B1664" w14:paraId="723F4921" w14:textId="77777777">
        <w:tc>
          <w:tcPr>
            <w:tcW w:w="1389" w:type="dxa"/>
          </w:tcPr>
          <w:p w14:paraId="5FFEA662"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lastRenderedPageBreak/>
              <w:t>0010</w:t>
            </w:r>
          </w:p>
        </w:tc>
        <w:tc>
          <w:tcPr>
            <w:tcW w:w="7620" w:type="dxa"/>
          </w:tcPr>
          <w:p w14:paraId="4741DFFB" w14:textId="77777777" w:rsidR="000B1B99" w:rsidRPr="007B1664" w:rsidRDefault="007B1664">
            <w:pPr>
              <w:pStyle w:val="InstructionsText"/>
              <w:rPr>
                <w:rStyle w:val="InstructionsTabelleberschrift"/>
                <w:rFonts w:ascii="Times New Roman" w:hAnsi="Times New Roman"/>
                <w:sz w:val="22"/>
              </w:rPr>
            </w:pPr>
            <w:r w:rsidRPr="007B1664">
              <w:rPr>
                <w:rStyle w:val="InstructionsTabelleberschrift"/>
                <w:rFonts w:ascii="Times New Roman" w:hAnsi="Times New Roman"/>
                <w:sz w:val="22"/>
              </w:rPr>
              <w:t>Código</w:t>
            </w:r>
          </w:p>
          <w:p w14:paraId="453A8CFB"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Style w:val="FormatvorlageInstructionsTabelleText"/>
                <w:rFonts w:ascii="Times New Roman" w:hAnsi="Times New Roman"/>
                <w:sz w:val="22"/>
                <w:szCs w:val="24"/>
              </w:rPr>
              <w:t xml:space="preserve">O código como parte de um identificador de linha tem de ser único </w:t>
            </w:r>
            <w:r w:rsidRPr="007B1664">
              <w:rPr>
                <w:rStyle w:val="FormatvorlageInstructionsTabelleText"/>
                <w:rFonts w:ascii="Times New Roman" w:hAnsi="Times New Roman"/>
                <w:sz w:val="22"/>
                <w:szCs w:val="24"/>
              </w:rPr>
              <w:t>para cada entidade que é objeto de comunicação de informações. Para as empresas de investimento e as empresas de seguros, o código é o código LEI. Para outras entidades, o código é o código LEI ou, quando não disponível, um código nacional. O código deve s</w:t>
            </w:r>
            <w:r w:rsidRPr="007B1664">
              <w:rPr>
                <w:rStyle w:val="FormatvorlageInstructionsTabelleText"/>
                <w:rFonts w:ascii="Times New Roman" w:hAnsi="Times New Roman"/>
                <w:sz w:val="22"/>
                <w:szCs w:val="24"/>
              </w:rPr>
              <w:t>er único e utilizado de forma coerente em todos os modelos e ao longo do tempo. O código deve ter sempre um valor.</w:t>
            </w:r>
          </w:p>
        </w:tc>
      </w:tr>
      <w:tr w:rsidR="000B1B99" w:rsidRPr="007B1664" w14:paraId="45CC5336" w14:textId="77777777">
        <w:tc>
          <w:tcPr>
            <w:tcW w:w="1389" w:type="dxa"/>
          </w:tcPr>
          <w:p w14:paraId="00E56FED"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0020</w:t>
            </w:r>
          </w:p>
        </w:tc>
        <w:tc>
          <w:tcPr>
            <w:tcW w:w="7620" w:type="dxa"/>
          </w:tcPr>
          <w:p w14:paraId="7D03912A" w14:textId="77777777" w:rsidR="000B1B99" w:rsidRPr="007B1664" w:rsidRDefault="007B1664">
            <w:pPr>
              <w:pStyle w:val="InstructionsText"/>
              <w:rPr>
                <w:rStyle w:val="InstructionsTabelleberschrift"/>
                <w:rFonts w:ascii="Times New Roman" w:hAnsi="Times New Roman"/>
                <w:sz w:val="22"/>
              </w:rPr>
            </w:pPr>
            <w:r w:rsidRPr="007B1664">
              <w:rPr>
                <w:rStyle w:val="InstructionsTabelleberschrift"/>
                <w:rFonts w:ascii="Times New Roman" w:hAnsi="Times New Roman"/>
                <w:sz w:val="22"/>
              </w:rPr>
              <w:t>Tipo de código</w:t>
            </w:r>
          </w:p>
          <w:p w14:paraId="0CE4EFB3"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Cs/>
                <w:szCs w:val="24"/>
              </w:rPr>
              <w:t>As empresas de investimento devem identificar o tipo de código comunicado na coluna 0010 como «tipo de código LEI» ou «t</w:t>
            </w:r>
            <w:r w:rsidRPr="007B1664">
              <w:rPr>
                <w:rFonts w:ascii="Times New Roman" w:hAnsi="Times New Roman"/>
                <w:bCs/>
                <w:szCs w:val="24"/>
              </w:rPr>
              <w:t>ipo de código nacional».</w:t>
            </w:r>
          </w:p>
        </w:tc>
      </w:tr>
      <w:tr w:rsidR="000B1B99" w:rsidRPr="007B1664" w14:paraId="30059D05" w14:textId="77777777">
        <w:tc>
          <w:tcPr>
            <w:tcW w:w="1389" w:type="dxa"/>
          </w:tcPr>
          <w:p w14:paraId="4AA10666"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0030</w:t>
            </w:r>
          </w:p>
        </w:tc>
        <w:tc>
          <w:tcPr>
            <w:tcW w:w="7620" w:type="dxa"/>
          </w:tcPr>
          <w:p w14:paraId="1E7F5158"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Nome</w:t>
            </w:r>
          </w:p>
          <w:p w14:paraId="15607217"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szCs w:val="23"/>
              </w:rPr>
              <w:t>Sempre que a comunicação disser respeito a um grupo de contrapartes ligadas entre si, o nome deve corresponder ao nome da empresa-mãe. Nos restantes casos, o nome deve corresponder à contraparte individual.</w:t>
            </w:r>
          </w:p>
        </w:tc>
      </w:tr>
      <w:tr w:rsidR="000B1B99" w:rsidRPr="007B1664" w14:paraId="7D717F88" w14:textId="77777777">
        <w:tc>
          <w:tcPr>
            <w:tcW w:w="1389" w:type="dxa"/>
          </w:tcPr>
          <w:p w14:paraId="6265994A"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0040</w:t>
            </w:r>
          </w:p>
        </w:tc>
        <w:tc>
          <w:tcPr>
            <w:tcW w:w="7620" w:type="dxa"/>
          </w:tcPr>
          <w:p w14:paraId="6EB688DE"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Grupo/individual</w:t>
            </w:r>
          </w:p>
          <w:p w14:paraId="6BAD9672"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szCs w:val="24"/>
              </w:rPr>
              <w:t>A empresa deve comunicar «1» para as exposições sobre clientes individuais ou «2» para as exposições sobre grupos de clientes ligados entre si.</w:t>
            </w:r>
          </w:p>
        </w:tc>
      </w:tr>
      <w:tr w:rsidR="000B1B99" w:rsidRPr="007B1664" w14:paraId="5063A80B" w14:textId="77777777">
        <w:tc>
          <w:tcPr>
            <w:tcW w:w="1389" w:type="dxa"/>
          </w:tcPr>
          <w:p w14:paraId="063688CF" w14:textId="77777777" w:rsidR="000B1B99" w:rsidRPr="007B1664" w:rsidRDefault="007B1664">
            <w:pPr>
              <w:spacing w:after="120" w:line="240" w:lineRule="auto"/>
              <w:jc w:val="both"/>
              <w:rPr>
                <w:rFonts w:ascii="Times New Roman" w:eastAsia="Times New Roman" w:hAnsi="Times New Roman" w:cs="Times New Roman"/>
                <w:bCs/>
                <w:szCs w:val="24"/>
              </w:rPr>
            </w:pPr>
            <w:r w:rsidRPr="007B1664">
              <w:rPr>
                <w:rFonts w:ascii="Times New Roman" w:hAnsi="Times New Roman"/>
                <w:bCs/>
                <w:szCs w:val="24"/>
              </w:rPr>
              <w:t>0050</w:t>
            </w:r>
          </w:p>
        </w:tc>
        <w:tc>
          <w:tcPr>
            <w:tcW w:w="7620" w:type="dxa"/>
          </w:tcPr>
          <w:p w14:paraId="752B1F2C"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
                <w:bCs/>
                <w:szCs w:val="24"/>
                <w:u w:val="single"/>
              </w:rPr>
              <w:t xml:space="preserve">Percentagem da exposição relativamente aos fundos próprios da empresa </w:t>
            </w:r>
            <w:r w:rsidRPr="007B1664">
              <w:rPr>
                <w:rFonts w:ascii="Times New Roman" w:hAnsi="Times New Roman"/>
                <w:b/>
                <w:bCs/>
                <w:szCs w:val="24"/>
                <w:u w:val="single"/>
              </w:rPr>
              <w:t>(incluindo ativos extrapatrimoniais e elementos extra carteira de negociação)</w:t>
            </w:r>
          </w:p>
          <w:p w14:paraId="1257E11C" w14:textId="77777777" w:rsidR="000B1B99" w:rsidRPr="007B1664" w:rsidRDefault="007B1664">
            <w:pPr>
              <w:spacing w:after="120" w:line="240" w:lineRule="auto"/>
              <w:jc w:val="both"/>
              <w:rPr>
                <w:rFonts w:ascii="Times New Roman" w:eastAsia="Times New Roman" w:hAnsi="Times New Roman" w:cs="Times New Roman"/>
                <w:b/>
                <w:bCs/>
                <w:szCs w:val="24"/>
                <w:u w:val="single"/>
              </w:rPr>
            </w:pPr>
            <w:r w:rsidRPr="007B1664">
              <w:rPr>
                <w:rFonts w:ascii="Times New Roman" w:hAnsi="Times New Roman"/>
                <w:bCs/>
                <w:szCs w:val="24"/>
              </w:rPr>
              <w:t>A empresa deve comunicar as exposições, calculadas tendo em conta os ativos e os elementos extrapatrimoniais não registados na carteira de negociação para além das posições da ca</w:t>
            </w:r>
            <w:r w:rsidRPr="007B1664">
              <w:rPr>
                <w:rFonts w:ascii="Times New Roman" w:hAnsi="Times New Roman"/>
                <w:bCs/>
                <w:szCs w:val="24"/>
              </w:rPr>
              <w:t>rteira de negociação, na data de referência, sobre cada uma das contrapartes ou grupos de contrapartes ligadas entre si cujos dados apresentados são expressos em percentagem do capital elegível.</w:t>
            </w:r>
          </w:p>
        </w:tc>
      </w:tr>
    </w:tbl>
    <w:p w14:paraId="1A3282AB" w14:textId="77777777" w:rsidR="000B1B99" w:rsidRPr="007B1664" w:rsidRDefault="000B1B99">
      <w:pPr>
        <w:spacing w:after="0"/>
        <w:rPr>
          <w:rFonts w:ascii="Times New Roman" w:hAnsi="Times New Roman" w:cs="Times New Roman"/>
          <w:u w:val="single"/>
        </w:rPr>
      </w:pPr>
    </w:p>
    <w:p w14:paraId="1ECB9757" w14:textId="77777777" w:rsidR="000B1B99" w:rsidRPr="007B1664" w:rsidRDefault="007B1664">
      <w:pPr>
        <w:pStyle w:val="Instructionsberschrift2"/>
        <w:ind w:left="357" w:hanging="357"/>
        <w:rPr>
          <w:rFonts w:ascii="Times New Roman" w:hAnsi="Times New Roman" w:cs="Times New Roman"/>
          <w:b/>
          <w:sz w:val="24"/>
          <w:u w:val="none"/>
        </w:rPr>
      </w:pPr>
      <w:bookmarkStart w:id="98" w:name="_Toc88247718"/>
      <w:r w:rsidRPr="007B1664">
        <w:rPr>
          <w:rFonts w:ascii="Times New Roman" w:hAnsi="Times New Roman"/>
          <w:b/>
          <w:sz w:val="24"/>
          <w:u w:val="none"/>
        </w:rPr>
        <w:t>5. REQUISITOS DE LIQUIDEZ</w:t>
      </w:r>
      <w:bookmarkEnd w:id="98"/>
    </w:p>
    <w:p w14:paraId="0379A772"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47719"/>
      <w:r w:rsidRPr="007B1664">
        <w:rPr>
          <w:rFonts w:ascii="Times New Roman" w:hAnsi="Times New Roman"/>
          <w:sz w:val="24"/>
          <w:szCs w:val="24"/>
          <w:u w:val="single"/>
        </w:rPr>
        <w:t>5.1 I 09.00 – REQUISITOS DE LIQUI</w:t>
      </w:r>
      <w:r w:rsidRPr="007B1664">
        <w:rPr>
          <w:rFonts w:ascii="Times New Roman" w:hAnsi="Times New Roman"/>
          <w:sz w:val="24"/>
          <w:szCs w:val="24"/>
          <w:u w:val="single"/>
        </w:rPr>
        <w:t>DEZ (I 9)</w:t>
      </w:r>
      <w:bookmarkEnd w:id="99"/>
    </w:p>
    <w:p w14:paraId="6D1974C9" w14:textId="77777777" w:rsidR="000B1B99" w:rsidRPr="007B1664" w:rsidRDefault="007B166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247720"/>
      <w:r w:rsidRPr="007B1664">
        <w:rPr>
          <w:rFonts w:ascii="Times New Roman" w:hAnsi="Times New Roman"/>
          <w:sz w:val="24"/>
          <w:szCs w:val="24"/>
        </w:rPr>
        <w:t>5.1.1.</w:t>
      </w:r>
      <w:r w:rsidRPr="007B1664">
        <w:rPr>
          <w:rFonts w:ascii="Times New Roman" w:hAnsi="Times New Roman"/>
          <w:sz w:val="24"/>
          <w:szCs w:val="24"/>
        </w:rPr>
        <w:tab/>
      </w:r>
      <w:r w:rsidRPr="007B1664">
        <w:rPr>
          <w:rFonts w:ascii="Times New Roman" w:hAnsi="Times New Roman"/>
          <w:sz w:val="24"/>
          <w:szCs w:val="24"/>
          <w:u w:val="single"/>
        </w:rPr>
        <w:t>Instruções relativas a posições específicas</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B1B99" w:rsidRPr="007B1664" w14:paraId="36BC213B" w14:textId="77777777">
        <w:tc>
          <w:tcPr>
            <w:tcW w:w="1129" w:type="dxa"/>
            <w:shd w:val="clear" w:color="auto" w:fill="D9D9D9"/>
          </w:tcPr>
          <w:p w14:paraId="04A241F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Linha</w:t>
            </w:r>
          </w:p>
        </w:tc>
        <w:tc>
          <w:tcPr>
            <w:tcW w:w="7620" w:type="dxa"/>
            <w:shd w:val="clear" w:color="auto" w:fill="D9D9D9"/>
          </w:tcPr>
          <w:p w14:paraId="5FC8D5B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rPr>
              <w:t>Referências jurídicas e instruções</w:t>
            </w:r>
          </w:p>
        </w:tc>
      </w:tr>
      <w:tr w:rsidR="000B1B99" w:rsidRPr="007B1664" w14:paraId="3352AC00" w14:textId="77777777">
        <w:tc>
          <w:tcPr>
            <w:tcW w:w="1129" w:type="dxa"/>
          </w:tcPr>
          <w:p w14:paraId="6A53940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0010</w:t>
            </w:r>
          </w:p>
        </w:tc>
        <w:tc>
          <w:tcPr>
            <w:tcW w:w="7620" w:type="dxa"/>
          </w:tcPr>
          <w:p w14:paraId="2363725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Requisito de liquidez</w:t>
            </w:r>
          </w:p>
          <w:p w14:paraId="39274A1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do Regulamento (UE) 2019/2033.</w:t>
            </w:r>
          </w:p>
        </w:tc>
      </w:tr>
      <w:tr w:rsidR="000B1B99" w:rsidRPr="007B1664" w14:paraId="290D2115" w14:textId="77777777">
        <w:tc>
          <w:tcPr>
            <w:tcW w:w="1129" w:type="dxa"/>
          </w:tcPr>
          <w:p w14:paraId="059D4CB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0020</w:t>
            </w:r>
          </w:p>
        </w:tc>
        <w:tc>
          <w:tcPr>
            <w:tcW w:w="7620" w:type="dxa"/>
          </w:tcPr>
          <w:p w14:paraId="7E943A8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Garantias relativas a clientes</w:t>
            </w:r>
          </w:p>
          <w:p w14:paraId="1797370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45.</w:t>
            </w:r>
            <w:r w:rsidRPr="007B1664">
              <w:rPr>
                <w:rFonts w:ascii="Times New Roman" w:hAnsi="Times New Roman"/>
                <w:bCs/>
                <w:vertAlign w:val="superscript"/>
              </w:rPr>
              <w:t>o</w:t>
            </w:r>
            <w:r w:rsidRPr="007B1664">
              <w:rPr>
                <w:rFonts w:ascii="Times New Roman" w:hAnsi="Times New Roman"/>
                <w:bCs/>
              </w:rPr>
              <w:t xml:space="preserve"> do Regulamento (UE) 2019/2033.</w:t>
            </w:r>
          </w:p>
          <w:p w14:paraId="1F26A824" w14:textId="77777777" w:rsidR="000B1B99" w:rsidRPr="007B1664" w:rsidRDefault="007B1664">
            <w:pPr>
              <w:pStyle w:val="CommentText"/>
              <w:rPr>
                <w:rFonts w:ascii="Times New Roman" w:eastAsia="Times New Roman" w:hAnsi="Times New Roman" w:cs="Times New Roman"/>
                <w:bCs/>
                <w:sz w:val="22"/>
                <w:szCs w:val="22"/>
              </w:rPr>
            </w:pPr>
            <w:r w:rsidRPr="007B1664">
              <w:rPr>
                <w:rFonts w:ascii="Times New Roman" w:hAnsi="Times New Roman"/>
                <w:bCs/>
                <w:sz w:val="22"/>
                <w:szCs w:val="22"/>
              </w:rPr>
              <w:t>O valor comunicado deve corresponder a 1,6 % do montante total das garantias prestadas aos clientes nos termos do artigo 45.</w:t>
            </w:r>
            <w:r w:rsidRPr="007B1664">
              <w:rPr>
                <w:rFonts w:ascii="Times New Roman" w:hAnsi="Times New Roman"/>
                <w:bCs/>
                <w:sz w:val="22"/>
                <w:szCs w:val="22"/>
                <w:vertAlign w:val="superscript"/>
              </w:rPr>
              <w:t>o</w:t>
            </w:r>
            <w:r w:rsidRPr="007B1664">
              <w:rPr>
                <w:rFonts w:ascii="Times New Roman" w:hAnsi="Times New Roman"/>
                <w:bCs/>
                <w:sz w:val="22"/>
                <w:szCs w:val="22"/>
              </w:rPr>
              <w:t xml:space="preserve"> do Regulamento (UE) 2019/2033.</w:t>
            </w:r>
          </w:p>
        </w:tc>
      </w:tr>
      <w:tr w:rsidR="000B1B99" w:rsidRPr="007B1664" w14:paraId="47EB96EF" w14:textId="77777777">
        <w:tc>
          <w:tcPr>
            <w:tcW w:w="1129" w:type="dxa"/>
          </w:tcPr>
          <w:p w14:paraId="77BAD85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0030</w:t>
            </w:r>
          </w:p>
        </w:tc>
        <w:tc>
          <w:tcPr>
            <w:tcW w:w="7620" w:type="dxa"/>
          </w:tcPr>
          <w:p w14:paraId="560AD79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de ativos líquidos</w:t>
            </w:r>
          </w:p>
          <w:p w14:paraId="78FDFFC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a), e </w:t>
            </w:r>
            <w:r w:rsidRPr="007B1664">
              <w:rPr>
                <w:rFonts w:ascii="Times New Roman" w:hAnsi="Times New Roman"/>
                <w:bCs/>
              </w:rPr>
              <w:t>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p w14:paraId="434AE836" w14:textId="77777777" w:rsidR="000B1B99" w:rsidRPr="007B1664" w:rsidRDefault="007B1664">
            <w:pPr>
              <w:pStyle w:val="CommentText"/>
              <w:rPr>
                <w:rFonts w:ascii="Times New Roman" w:eastAsia="Times New Roman" w:hAnsi="Times New Roman" w:cs="Times New Roman"/>
                <w:bCs/>
                <w:sz w:val="22"/>
                <w:szCs w:val="22"/>
              </w:rPr>
            </w:pPr>
            <w:r w:rsidRPr="007B1664">
              <w:rPr>
                <w:rFonts w:ascii="Times New Roman" w:hAnsi="Times New Roman"/>
                <w:bCs/>
                <w:sz w:val="22"/>
                <w:szCs w:val="22"/>
              </w:rPr>
              <w:t>O total dos ativos líquidos deve ser comunicado após a aplicação das margens de avaliação em causa.</w:t>
            </w:r>
          </w:p>
          <w:p w14:paraId="2BBB34F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Esta linha é a soma das linhas 0040, 0050, 0060, 0170, 0230, 0290 e 0300.</w:t>
            </w:r>
          </w:p>
        </w:tc>
      </w:tr>
      <w:tr w:rsidR="000B1B99" w:rsidRPr="007B1664" w14:paraId="227063F0" w14:textId="77777777">
        <w:tc>
          <w:tcPr>
            <w:tcW w:w="1129" w:type="dxa"/>
          </w:tcPr>
          <w:p w14:paraId="340A394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0040</w:t>
            </w:r>
          </w:p>
        </w:tc>
        <w:tc>
          <w:tcPr>
            <w:tcW w:w="7620" w:type="dxa"/>
          </w:tcPr>
          <w:p w14:paraId="0744F6B9"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Depósitos a curto prazo n</w:t>
            </w:r>
            <w:r w:rsidRPr="007B1664">
              <w:rPr>
                <w:rFonts w:ascii="Times New Roman" w:hAnsi="Times New Roman"/>
                <w:b/>
                <w:bCs/>
                <w:u w:val="single"/>
              </w:rPr>
              <w:t>ão onerados</w:t>
            </w:r>
          </w:p>
          <w:p w14:paraId="7BB9D01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e 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tc>
      </w:tr>
      <w:tr w:rsidR="000B1B99" w:rsidRPr="007B1664" w14:paraId="6E828EAF" w14:textId="77777777">
        <w:tc>
          <w:tcPr>
            <w:tcW w:w="1129" w:type="dxa"/>
          </w:tcPr>
          <w:p w14:paraId="4CB6AB8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0050</w:t>
            </w:r>
          </w:p>
        </w:tc>
        <w:tc>
          <w:tcPr>
            <w:tcW w:w="7620" w:type="dxa"/>
          </w:tcPr>
          <w:p w14:paraId="16E0375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das contas a receber devidas no prazo de 30 dias elegíveis</w:t>
            </w:r>
          </w:p>
          <w:p w14:paraId="32B896EB"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3, do Regulamento (UE) 2019/2033 e 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2, do </w:t>
            </w:r>
            <w:r w:rsidRPr="007B1664">
              <w:rPr>
                <w:rFonts w:ascii="Times New Roman" w:hAnsi="Times New Roman"/>
                <w:bCs/>
              </w:rPr>
              <w:t>Regulamento (UE) 2019/2033.</w:t>
            </w:r>
          </w:p>
        </w:tc>
      </w:tr>
      <w:tr w:rsidR="000B1B99" w:rsidRPr="007B1664" w14:paraId="230F5AAE" w14:textId="77777777">
        <w:tc>
          <w:tcPr>
            <w:tcW w:w="1129" w:type="dxa"/>
          </w:tcPr>
          <w:p w14:paraId="21A8BD3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0060</w:t>
            </w:r>
          </w:p>
        </w:tc>
        <w:tc>
          <w:tcPr>
            <w:tcW w:w="7620" w:type="dxa"/>
          </w:tcPr>
          <w:p w14:paraId="616EF71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de nível 1</w:t>
            </w:r>
          </w:p>
          <w:p w14:paraId="790AE61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10.</w:t>
            </w:r>
            <w:r w:rsidRPr="007B1664">
              <w:rPr>
                <w:rFonts w:ascii="Times New Roman" w:hAnsi="Times New Roman"/>
                <w:bCs/>
                <w:vertAlign w:val="superscript"/>
              </w:rPr>
              <w:t>o</w:t>
            </w:r>
            <w:r w:rsidRPr="007B1664">
              <w:rPr>
                <w:rFonts w:ascii="Times New Roman" w:hAnsi="Times New Roman"/>
                <w:bCs/>
              </w:rPr>
              <w:t xml:space="preserve"> do Regulamento Delegado (UE) 2015/61 e 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p w14:paraId="322A7A18" w14:textId="77777777" w:rsidR="000B1B99" w:rsidRPr="007B1664" w:rsidRDefault="007B1664">
            <w:pPr>
              <w:pStyle w:val="CommentText"/>
              <w:rPr>
                <w:rFonts w:ascii="Times New Roman" w:eastAsia="Times New Roman" w:hAnsi="Times New Roman" w:cs="Times New Roman"/>
                <w:bCs/>
                <w:sz w:val="22"/>
                <w:szCs w:val="22"/>
              </w:rPr>
            </w:pPr>
            <w:r w:rsidRPr="007B1664">
              <w:rPr>
                <w:rFonts w:ascii="Times New Roman" w:hAnsi="Times New Roman"/>
                <w:bCs/>
                <w:sz w:val="22"/>
                <w:szCs w:val="22"/>
              </w:rPr>
              <w:t xml:space="preserve">O total dos ativos líquidos deve ser comunicado após a aplicação das margens de avaliação em </w:t>
            </w:r>
            <w:r w:rsidRPr="007B1664">
              <w:rPr>
                <w:rFonts w:ascii="Times New Roman" w:hAnsi="Times New Roman"/>
                <w:bCs/>
                <w:sz w:val="22"/>
                <w:szCs w:val="22"/>
              </w:rPr>
              <w:t>causa.</w:t>
            </w:r>
          </w:p>
          <w:p w14:paraId="229AADE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 xml:space="preserve">Soma das linhas 0070 </w:t>
            </w:r>
            <w:r w:rsidRPr="007B1664">
              <w:rPr>
                <w:rFonts w:ascii="Times New Roman" w:hAnsi="Times New Roman"/>
                <w:bCs/>
              </w:rPr>
              <w:t>- 016</w:t>
            </w:r>
            <w:r w:rsidRPr="007B1664">
              <w:rPr>
                <w:rFonts w:ascii="Times New Roman" w:hAnsi="Times New Roman"/>
                <w:bCs/>
              </w:rPr>
              <w:t>0.</w:t>
            </w:r>
          </w:p>
        </w:tc>
      </w:tr>
      <w:tr w:rsidR="000B1B99" w:rsidRPr="007B1664" w14:paraId="2C74BB91" w14:textId="77777777">
        <w:tc>
          <w:tcPr>
            <w:tcW w:w="1129" w:type="dxa"/>
          </w:tcPr>
          <w:p w14:paraId="1F16892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0070</w:t>
            </w:r>
          </w:p>
        </w:tc>
        <w:tc>
          <w:tcPr>
            <w:tcW w:w="7620" w:type="dxa"/>
          </w:tcPr>
          <w:p w14:paraId="3E992D2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Moedas e notas</w:t>
            </w:r>
          </w:p>
          <w:p w14:paraId="15663F03" w14:textId="77777777" w:rsidR="000B1B99" w:rsidRPr="007B1664" w:rsidRDefault="007B1664">
            <w:pPr>
              <w:pStyle w:val="InstructionsText"/>
              <w:rPr>
                <w:rFonts w:cs="Times New Roman"/>
                <w:sz w:val="22"/>
                <w:szCs w:val="22"/>
              </w:rPr>
            </w:pPr>
            <w:r w:rsidRPr="007B1664">
              <w:rPr>
                <w:sz w:val="22"/>
                <w:szCs w:val="22"/>
              </w:rPr>
              <w:t>Artigo 10.</w:t>
            </w:r>
            <w:r w:rsidRPr="007B1664">
              <w:rPr>
                <w:sz w:val="22"/>
                <w:szCs w:val="22"/>
                <w:vertAlign w:val="superscript"/>
              </w:rPr>
              <w:t>o</w:t>
            </w:r>
            <w:r w:rsidRPr="007B1664">
              <w:rPr>
                <w:sz w:val="22"/>
                <w:szCs w:val="22"/>
              </w:rPr>
              <w:t>, n.</w:t>
            </w:r>
            <w:r w:rsidRPr="007B1664">
              <w:rPr>
                <w:sz w:val="22"/>
                <w:szCs w:val="22"/>
                <w:vertAlign w:val="superscript"/>
              </w:rPr>
              <w:t>o</w:t>
            </w:r>
            <w:r w:rsidRPr="007B1664">
              <w:rPr>
                <w:sz w:val="22"/>
                <w:szCs w:val="22"/>
              </w:rPr>
              <w:t> 1, alínea a), do Regulamento Delegado (UE) 2015/61.</w:t>
            </w:r>
          </w:p>
          <w:p w14:paraId="0E8C03A6" w14:textId="77777777" w:rsidR="000B1B99" w:rsidRPr="007B1664" w:rsidRDefault="007B1664">
            <w:pPr>
              <w:pStyle w:val="InstructionsText"/>
              <w:rPr>
                <w:rFonts w:cs="Times New Roman"/>
                <w:sz w:val="22"/>
                <w:szCs w:val="22"/>
              </w:rPr>
            </w:pPr>
            <w:r w:rsidRPr="007B1664">
              <w:rPr>
                <w:sz w:val="22"/>
                <w:szCs w:val="22"/>
              </w:rPr>
              <w:t>O montante total de numerário em moedas e notas.</w:t>
            </w:r>
          </w:p>
        </w:tc>
      </w:tr>
      <w:tr w:rsidR="000B1B99" w:rsidRPr="007B1664" w14:paraId="2606A6A3" w14:textId="77777777">
        <w:tc>
          <w:tcPr>
            <w:tcW w:w="1129" w:type="dxa"/>
          </w:tcPr>
          <w:p w14:paraId="154C6F5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0080</w:t>
            </w:r>
          </w:p>
        </w:tc>
        <w:tc>
          <w:tcPr>
            <w:tcW w:w="7620" w:type="dxa"/>
          </w:tcPr>
          <w:p w14:paraId="3058F36A"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Reservas mobilizáveis junto de um banco central</w:t>
            </w:r>
          </w:p>
          <w:p w14:paraId="5F7EFEED" w14:textId="77777777" w:rsidR="000B1B99" w:rsidRPr="007B1664" w:rsidRDefault="007B1664">
            <w:pPr>
              <w:pStyle w:val="InstructionsText"/>
              <w:rPr>
                <w:rFonts w:cs="Times New Roman"/>
                <w:sz w:val="22"/>
                <w:szCs w:val="22"/>
              </w:rPr>
            </w:pPr>
            <w:r w:rsidRPr="007B1664">
              <w:rPr>
                <w:sz w:val="22"/>
                <w:szCs w:val="22"/>
              </w:rPr>
              <w:t>Artigo 10.</w:t>
            </w:r>
            <w:r w:rsidRPr="007B1664">
              <w:rPr>
                <w:sz w:val="22"/>
                <w:szCs w:val="22"/>
                <w:vertAlign w:val="superscript"/>
              </w:rPr>
              <w:t>o</w:t>
            </w:r>
            <w:r w:rsidRPr="007B1664">
              <w:rPr>
                <w:sz w:val="22"/>
                <w:szCs w:val="22"/>
              </w:rPr>
              <w:t>, n.</w:t>
            </w:r>
            <w:r w:rsidRPr="007B1664">
              <w:rPr>
                <w:sz w:val="22"/>
                <w:szCs w:val="22"/>
                <w:vertAlign w:val="superscript"/>
              </w:rPr>
              <w:t>o</w:t>
            </w:r>
            <w:r w:rsidRPr="007B1664">
              <w:rPr>
                <w:sz w:val="22"/>
                <w:szCs w:val="22"/>
              </w:rPr>
              <w:t xml:space="preserve"> 1, alínea </w:t>
            </w:r>
            <w:r w:rsidRPr="007B1664">
              <w:rPr>
                <w:sz w:val="22"/>
                <w:szCs w:val="22"/>
              </w:rPr>
              <w:t>b), subalínea iii), do Regulamento Delegado (UE) 2015/61.</w:t>
            </w:r>
          </w:p>
        </w:tc>
      </w:tr>
      <w:tr w:rsidR="000B1B99" w:rsidRPr="007B1664" w14:paraId="3C53FEEB" w14:textId="77777777">
        <w:tc>
          <w:tcPr>
            <w:tcW w:w="1129" w:type="dxa"/>
          </w:tcPr>
          <w:p w14:paraId="68337B3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0090</w:t>
            </w:r>
          </w:p>
        </w:tc>
        <w:tc>
          <w:tcPr>
            <w:tcW w:w="7620" w:type="dxa"/>
          </w:tcPr>
          <w:p w14:paraId="1A0A586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de bancos centrais</w:t>
            </w:r>
          </w:p>
          <w:p w14:paraId="19ED3697" w14:textId="77777777" w:rsidR="000B1B99" w:rsidRPr="007B1664" w:rsidRDefault="007B1664">
            <w:pPr>
              <w:pStyle w:val="InstructionsText"/>
              <w:rPr>
                <w:rFonts w:cs="Times New Roman"/>
                <w:sz w:val="22"/>
                <w:szCs w:val="22"/>
              </w:rPr>
            </w:pPr>
            <w:r w:rsidRPr="007B1664">
              <w:rPr>
                <w:sz w:val="22"/>
                <w:szCs w:val="22"/>
              </w:rPr>
              <w:t>Artigo 10.</w:t>
            </w:r>
            <w:r w:rsidRPr="007B1664">
              <w:rPr>
                <w:sz w:val="22"/>
                <w:szCs w:val="22"/>
                <w:vertAlign w:val="superscript"/>
              </w:rPr>
              <w:t>o</w:t>
            </w:r>
            <w:r w:rsidRPr="007B1664">
              <w:rPr>
                <w:sz w:val="22"/>
                <w:szCs w:val="22"/>
              </w:rPr>
              <w:t>, n.</w:t>
            </w:r>
            <w:r w:rsidRPr="007B1664">
              <w:rPr>
                <w:sz w:val="22"/>
                <w:szCs w:val="22"/>
                <w:vertAlign w:val="superscript"/>
              </w:rPr>
              <w:t>o</w:t>
            </w:r>
            <w:r w:rsidRPr="007B1664">
              <w:rPr>
                <w:sz w:val="22"/>
                <w:szCs w:val="22"/>
              </w:rPr>
              <w:t> 1, alínea b), subalíneas i) e ii), do Regulamento (UE) 2015/61.</w:t>
            </w:r>
          </w:p>
        </w:tc>
      </w:tr>
      <w:tr w:rsidR="000B1B99" w:rsidRPr="007B1664" w14:paraId="6E0D8EF4" w14:textId="77777777">
        <w:tc>
          <w:tcPr>
            <w:tcW w:w="1129" w:type="dxa"/>
          </w:tcPr>
          <w:p w14:paraId="7D6762D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0100</w:t>
            </w:r>
          </w:p>
        </w:tc>
        <w:tc>
          <w:tcPr>
            <w:tcW w:w="7620" w:type="dxa"/>
          </w:tcPr>
          <w:p w14:paraId="0247103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de administrações centrais</w:t>
            </w:r>
          </w:p>
          <w:p w14:paraId="7B47016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c), </w:t>
            </w:r>
            <w:r w:rsidRPr="007B1664">
              <w:rPr>
                <w:rFonts w:ascii="Times New Roman" w:hAnsi="Times New Roman"/>
                <w:bCs/>
              </w:rPr>
              <w:t>subalíneas i) e ii), do Regulamento Delegado (UE) 2015/61.</w:t>
            </w:r>
          </w:p>
        </w:tc>
      </w:tr>
      <w:tr w:rsidR="000B1B99" w:rsidRPr="007B1664" w14:paraId="694EDD2A" w14:textId="77777777">
        <w:tc>
          <w:tcPr>
            <w:tcW w:w="1129" w:type="dxa"/>
          </w:tcPr>
          <w:p w14:paraId="193222F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0110</w:t>
            </w:r>
          </w:p>
        </w:tc>
        <w:tc>
          <w:tcPr>
            <w:tcW w:w="7620" w:type="dxa"/>
          </w:tcPr>
          <w:p w14:paraId="337384F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de administrações regionais/autoridades locais</w:t>
            </w:r>
          </w:p>
          <w:p w14:paraId="71BFE20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c), subalíneas iii) e iv), do Regulamento Delegado (UE) 2015/61.</w:t>
            </w:r>
          </w:p>
        </w:tc>
      </w:tr>
      <w:tr w:rsidR="000B1B99" w:rsidRPr="007B1664" w14:paraId="283BF57B" w14:textId="77777777">
        <w:tc>
          <w:tcPr>
            <w:tcW w:w="1129" w:type="dxa"/>
          </w:tcPr>
          <w:p w14:paraId="11877E2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0120</w:t>
            </w:r>
          </w:p>
        </w:tc>
        <w:tc>
          <w:tcPr>
            <w:tcW w:w="7620" w:type="dxa"/>
          </w:tcPr>
          <w:p w14:paraId="15FEAB15"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de entidades do setor público</w:t>
            </w:r>
          </w:p>
          <w:p w14:paraId="65F5F81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w:t>
            </w:r>
            <w:r w:rsidRPr="007B1664">
              <w:rPr>
                <w:rFonts w:ascii="Times New Roman" w:hAnsi="Times New Roman"/>
                <w:bCs/>
              </w:rPr>
              <w:t>tigo 10.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c), subalínea v), do Regulamento Delegado (UE) 2015/61.</w:t>
            </w:r>
          </w:p>
        </w:tc>
      </w:tr>
      <w:tr w:rsidR="000B1B99" w:rsidRPr="007B1664" w14:paraId="61A07A00" w14:textId="77777777">
        <w:tc>
          <w:tcPr>
            <w:tcW w:w="1129" w:type="dxa"/>
          </w:tcPr>
          <w:p w14:paraId="1F454913"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0130</w:t>
            </w:r>
          </w:p>
        </w:tc>
        <w:tc>
          <w:tcPr>
            <w:tcW w:w="7620" w:type="dxa"/>
          </w:tcPr>
          <w:p w14:paraId="40112C21"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reconhecíveis do banco central e da administração central em divisas nacional e estrangeiras</w:t>
            </w:r>
          </w:p>
          <w:p w14:paraId="6DD6B9B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Delegado (UE) 2015/61.</w:t>
            </w:r>
          </w:p>
        </w:tc>
      </w:tr>
      <w:tr w:rsidR="000B1B99" w:rsidRPr="007B1664" w14:paraId="498A2257" w14:textId="77777777">
        <w:tc>
          <w:tcPr>
            <w:tcW w:w="1129" w:type="dxa"/>
          </w:tcPr>
          <w:p w14:paraId="6475330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0140</w:t>
            </w:r>
          </w:p>
        </w:tc>
        <w:tc>
          <w:tcPr>
            <w:tcW w:w="7620" w:type="dxa"/>
          </w:tcPr>
          <w:p w14:paraId="7F339C5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de instituições de crédito (protegidas pelo governo do Estado-Membro, instituições que concedem empréstimos de fomento)</w:t>
            </w:r>
          </w:p>
          <w:p w14:paraId="7A02692F" w14:textId="77777777" w:rsidR="000B1B99" w:rsidRPr="007B1664" w:rsidRDefault="007B1664">
            <w:pPr>
              <w:pStyle w:val="InstructionsText"/>
              <w:rPr>
                <w:rFonts w:cs="Times New Roman"/>
                <w:b/>
                <w:sz w:val="22"/>
                <w:szCs w:val="22"/>
                <w:u w:val="single"/>
              </w:rPr>
            </w:pPr>
            <w:r w:rsidRPr="007B1664">
              <w:rPr>
                <w:sz w:val="22"/>
                <w:szCs w:val="22"/>
              </w:rPr>
              <w:t>Artigo 10.</w:t>
            </w:r>
            <w:r w:rsidRPr="007B1664">
              <w:rPr>
                <w:sz w:val="22"/>
                <w:szCs w:val="22"/>
                <w:vertAlign w:val="superscript"/>
              </w:rPr>
              <w:t>o</w:t>
            </w:r>
            <w:r w:rsidRPr="007B1664">
              <w:rPr>
                <w:sz w:val="22"/>
                <w:szCs w:val="22"/>
              </w:rPr>
              <w:t>, n.</w:t>
            </w:r>
            <w:r w:rsidRPr="007B1664">
              <w:rPr>
                <w:sz w:val="22"/>
                <w:szCs w:val="22"/>
                <w:vertAlign w:val="superscript"/>
              </w:rPr>
              <w:t>o</w:t>
            </w:r>
            <w:r w:rsidRPr="007B1664">
              <w:rPr>
                <w:sz w:val="22"/>
                <w:szCs w:val="22"/>
              </w:rPr>
              <w:t> 1, alínea e), subalíneas i) e ii), do Regulamento Delegado (UE) 2015/61.</w:t>
            </w:r>
          </w:p>
        </w:tc>
      </w:tr>
      <w:tr w:rsidR="000B1B99" w:rsidRPr="007B1664" w14:paraId="4A621F3B" w14:textId="77777777">
        <w:tc>
          <w:tcPr>
            <w:tcW w:w="1129" w:type="dxa"/>
          </w:tcPr>
          <w:p w14:paraId="53543D9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0150</w:t>
            </w:r>
          </w:p>
        </w:tc>
        <w:tc>
          <w:tcPr>
            <w:tcW w:w="7620" w:type="dxa"/>
          </w:tcPr>
          <w:p w14:paraId="61CBCFD3"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Ativos de bancos </w:t>
            </w:r>
            <w:r w:rsidRPr="007B1664">
              <w:rPr>
                <w:rFonts w:ascii="Times New Roman" w:hAnsi="Times New Roman"/>
                <w:b/>
                <w:bCs/>
                <w:u w:val="single"/>
              </w:rPr>
              <w:t>multilaterais de desenvolvimento e organizações internacionais</w:t>
            </w:r>
          </w:p>
          <w:p w14:paraId="62F0C929" w14:textId="77777777" w:rsidR="000B1B99" w:rsidRPr="007B1664" w:rsidRDefault="007B1664">
            <w:pPr>
              <w:pStyle w:val="InstructionsText"/>
              <w:rPr>
                <w:rFonts w:cs="Times New Roman"/>
                <w:sz w:val="22"/>
                <w:szCs w:val="22"/>
              </w:rPr>
            </w:pPr>
            <w:r w:rsidRPr="007B1664">
              <w:rPr>
                <w:sz w:val="22"/>
                <w:szCs w:val="22"/>
              </w:rPr>
              <w:t>Artigo 10.</w:t>
            </w:r>
            <w:r w:rsidRPr="007B1664">
              <w:rPr>
                <w:sz w:val="22"/>
                <w:szCs w:val="22"/>
                <w:vertAlign w:val="superscript"/>
              </w:rPr>
              <w:t>o</w:t>
            </w:r>
            <w:r w:rsidRPr="007B1664">
              <w:rPr>
                <w:sz w:val="22"/>
                <w:szCs w:val="22"/>
              </w:rPr>
              <w:t>, n.</w:t>
            </w:r>
            <w:r w:rsidRPr="007B1664">
              <w:rPr>
                <w:sz w:val="22"/>
                <w:szCs w:val="22"/>
                <w:vertAlign w:val="superscript"/>
              </w:rPr>
              <w:t>o</w:t>
            </w:r>
            <w:r w:rsidRPr="007B1664">
              <w:rPr>
                <w:sz w:val="22"/>
                <w:szCs w:val="22"/>
              </w:rPr>
              <w:t> 1, alínea g), do Regulamento Delegado (UE) 2015/61.</w:t>
            </w:r>
          </w:p>
        </w:tc>
      </w:tr>
      <w:tr w:rsidR="000B1B99" w:rsidRPr="007B1664" w14:paraId="3FEEBF9B" w14:textId="77777777">
        <w:tc>
          <w:tcPr>
            <w:tcW w:w="1129" w:type="dxa"/>
          </w:tcPr>
          <w:p w14:paraId="3155058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0160</w:t>
            </w:r>
          </w:p>
        </w:tc>
        <w:tc>
          <w:tcPr>
            <w:tcW w:w="7620" w:type="dxa"/>
            <w:vAlign w:val="center"/>
          </w:tcPr>
          <w:p w14:paraId="25C1155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Obrigações cobertas de qualidade extremamente elevada</w:t>
            </w:r>
          </w:p>
          <w:p w14:paraId="7B5D28A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10.</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f), do Regulamento Delegado (UE) </w:t>
            </w:r>
            <w:r w:rsidRPr="007B1664">
              <w:rPr>
                <w:rFonts w:ascii="Times New Roman" w:hAnsi="Times New Roman"/>
                <w:bCs/>
              </w:rPr>
              <w:t>2015/61.</w:t>
            </w:r>
          </w:p>
        </w:tc>
      </w:tr>
      <w:tr w:rsidR="000B1B99" w:rsidRPr="007B1664" w14:paraId="6CF7CDDD" w14:textId="77777777">
        <w:trPr>
          <w:trHeight w:val="885"/>
        </w:trPr>
        <w:tc>
          <w:tcPr>
            <w:tcW w:w="1129" w:type="dxa"/>
          </w:tcPr>
          <w:p w14:paraId="453964D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0170</w:t>
            </w:r>
          </w:p>
        </w:tc>
        <w:tc>
          <w:tcPr>
            <w:tcW w:w="7620" w:type="dxa"/>
            <w:vAlign w:val="center"/>
          </w:tcPr>
          <w:p w14:paraId="45DF5E08"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de nível 2A</w:t>
            </w:r>
          </w:p>
          <w:p w14:paraId="25273A64"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11.</w:t>
            </w:r>
            <w:r w:rsidRPr="007B1664">
              <w:rPr>
                <w:rFonts w:ascii="Times New Roman" w:hAnsi="Times New Roman"/>
                <w:bCs/>
                <w:vertAlign w:val="superscript"/>
              </w:rPr>
              <w:t>o</w:t>
            </w:r>
            <w:r w:rsidRPr="007B1664">
              <w:rPr>
                <w:rFonts w:ascii="Times New Roman" w:hAnsi="Times New Roman"/>
                <w:bCs/>
              </w:rPr>
              <w:t xml:space="preserve"> do Regulamento Delegado (UE) 2015/61 e 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tc>
      </w:tr>
      <w:tr w:rsidR="000B1B99" w:rsidRPr="007B1664" w14:paraId="4FC4260C" w14:textId="77777777">
        <w:tc>
          <w:tcPr>
            <w:tcW w:w="1129" w:type="dxa"/>
          </w:tcPr>
          <w:p w14:paraId="79A198AF"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lastRenderedPageBreak/>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76B661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Ativos de administrações regionais/autoridades locais ou de entidades do setor público </w:t>
            </w:r>
            <w:r w:rsidRPr="007B1664">
              <w:rPr>
                <w:rFonts w:ascii="Times New Roman" w:hAnsi="Times New Roman"/>
                <w:b/>
                <w:bCs/>
                <w:u w:val="single"/>
              </w:rPr>
              <w:t>(Estado-Membro, ponderação de risco de 20 %)</w:t>
            </w:r>
          </w:p>
          <w:p w14:paraId="7E384536" w14:textId="77777777" w:rsidR="000B1B99" w:rsidRPr="007B1664" w:rsidRDefault="007B1664">
            <w:pPr>
              <w:spacing w:after="0"/>
              <w:ind w:left="33"/>
              <w:rPr>
                <w:rFonts w:ascii="Times New Roman" w:eastAsia="Times New Roman" w:hAnsi="Times New Roman" w:cs="Times New Roman"/>
                <w:bCs/>
              </w:rPr>
            </w:pPr>
            <w:r w:rsidRPr="007B1664">
              <w:rPr>
                <w:rFonts w:ascii="Times New Roman" w:hAnsi="Times New Roman"/>
                <w:bCs/>
              </w:rPr>
              <w:t>Artigo 11.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a), do Regulamento Delegado (UE) 2015/61.</w:t>
            </w:r>
          </w:p>
        </w:tc>
      </w:tr>
      <w:tr w:rsidR="000B1B99" w:rsidRPr="007B1664" w14:paraId="707F9FE5" w14:textId="77777777">
        <w:tc>
          <w:tcPr>
            <w:tcW w:w="1129" w:type="dxa"/>
          </w:tcPr>
          <w:p w14:paraId="32F476E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782158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Ativos de bancos centrais, administrações centrais/regionais, autoridades locais ou entidades do setor público (país terceiro, </w:t>
            </w:r>
            <w:r w:rsidRPr="007B1664">
              <w:rPr>
                <w:rFonts w:ascii="Times New Roman" w:hAnsi="Times New Roman"/>
                <w:b/>
                <w:bCs/>
                <w:u w:val="single"/>
              </w:rPr>
              <w:t>ponderação de risco de 20 %)</w:t>
            </w:r>
          </w:p>
          <w:p w14:paraId="048153FC" w14:textId="77777777" w:rsidR="000B1B99" w:rsidRPr="007B1664" w:rsidRDefault="007B1664">
            <w:pPr>
              <w:spacing w:after="0"/>
              <w:ind w:left="33"/>
              <w:rPr>
                <w:rFonts w:ascii="Times New Roman" w:eastAsia="Times New Roman" w:hAnsi="Times New Roman" w:cs="Times New Roman"/>
                <w:bCs/>
              </w:rPr>
            </w:pPr>
            <w:r w:rsidRPr="007B1664">
              <w:rPr>
                <w:rFonts w:ascii="Times New Roman" w:hAnsi="Times New Roman"/>
                <w:bCs/>
              </w:rPr>
              <w:t>Artigo 11.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b), do Regulamento Delegado (UE) 2015/61.</w:t>
            </w:r>
          </w:p>
        </w:tc>
      </w:tr>
      <w:tr w:rsidR="000B1B99" w:rsidRPr="007B1664" w14:paraId="38D70D95" w14:textId="77777777">
        <w:tc>
          <w:tcPr>
            <w:tcW w:w="1129" w:type="dxa"/>
          </w:tcPr>
          <w:p w14:paraId="6B25FA9E"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0C64EE"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Obrigações cobertas de qualidade elevada (grau de qualidade creditícia 2)</w:t>
            </w:r>
          </w:p>
          <w:p w14:paraId="1588B6BC" w14:textId="77777777" w:rsidR="000B1B99" w:rsidRPr="007B1664" w:rsidRDefault="007B1664">
            <w:pPr>
              <w:spacing w:after="0"/>
              <w:ind w:left="33"/>
              <w:rPr>
                <w:rFonts w:ascii="Times New Roman" w:eastAsia="Times New Roman" w:hAnsi="Times New Roman" w:cs="Times New Roman"/>
                <w:b/>
                <w:bCs/>
                <w:u w:val="single"/>
              </w:rPr>
            </w:pPr>
            <w:r w:rsidRPr="007B1664">
              <w:rPr>
                <w:rFonts w:ascii="Times New Roman" w:hAnsi="Times New Roman"/>
                <w:bCs/>
              </w:rPr>
              <w:t>Artigo 11.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c), do Regulamento Delegado (UE) 2015/61.</w:t>
            </w:r>
          </w:p>
        </w:tc>
      </w:tr>
      <w:tr w:rsidR="000B1B99" w:rsidRPr="007B1664" w14:paraId="2A45AA35" w14:textId="77777777">
        <w:tc>
          <w:tcPr>
            <w:tcW w:w="1129" w:type="dxa"/>
          </w:tcPr>
          <w:p w14:paraId="2D30EB5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C0424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Obr</w:t>
            </w:r>
            <w:r w:rsidRPr="007B1664">
              <w:rPr>
                <w:rFonts w:ascii="Times New Roman" w:hAnsi="Times New Roman"/>
                <w:b/>
                <w:bCs/>
                <w:u w:val="single"/>
              </w:rPr>
              <w:t>igações cobertas de qualidade elevada (país terceiro, grau de qualidade creditícia 1)</w:t>
            </w:r>
          </w:p>
          <w:p w14:paraId="12BAFB41" w14:textId="77777777" w:rsidR="000B1B99" w:rsidRPr="007B1664" w:rsidRDefault="007B1664">
            <w:pPr>
              <w:spacing w:after="0"/>
              <w:ind w:left="33"/>
              <w:rPr>
                <w:rFonts w:ascii="Times New Roman" w:eastAsia="Times New Roman" w:hAnsi="Times New Roman" w:cs="Times New Roman"/>
                <w:b/>
                <w:bCs/>
                <w:u w:val="single"/>
              </w:rPr>
            </w:pPr>
            <w:r w:rsidRPr="007B1664">
              <w:rPr>
                <w:rFonts w:ascii="Times New Roman" w:hAnsi="Times New Roman"/>
                <w:bCs/>
              </w:rPr>
              <w:t>Artigo 11.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Delegado (UE) 2015/61.</w:t>
            </w:r>
          </w:p>
        </w:tc>
      </w:tr>
      <w:tr w:rsidR="000B1B99" w:rsidRPr="007B1664" w14:paraId="5BC6D55D" w14:textId="77777777">
        <w:tc>
          <w:tcPr>
            <w:tcW w:w="1129" w:type="dxa"/>
          </w:tcPr>
          <w:p w14:paraId="4D9F729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8FB112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Títulos de dívida de empresas (grau de qualidade creditícia 1)</w:t>
            </w:r>
          </w:p>
          <w:p w14:paraId="52CE9F6C" w14:textId="77777777" w:rsidR="000B1B99" w:rsidRPr="007B1664" w:rsidRDefault="007B1664">
            <w:pPr>
              <w:spacing w:after="0"/>
              <w:ind w:left="33"/>
              <w:rPr>
                <w:rFonts w:ascii="Times New Roman" w:eastAsia="Times New Roman" w:hAnsi="Times New Roman" w:cs="Times New Roman"/>
                <w:b/>
                <w:bCs/>
                <w:u w:val="single"/>
              </w:rPr>
            </w:pPr>
            <w:r w:rsidRPr="007B1664">
              <w:rPr>
                <w:rFonts w:ascii="Times New Roman" w:hAnsi="Times New Roman"/>
                <w:bCs/>
              </w:rPr>
              <w:t>Artigo 11.</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w:t>
            </w:r>
            <w:r w:rsidRPr="007B1664">
              <w:rPr>
                <w:rFonts w:ascii="Times New Roman" w:hAnsi="Times New Roman"/>
                <w:bCs/>
              </w:rPr>
              <w:t>e), do Regulamento Delegado (UE) 2015/61.</w:t>
            </w:r>
          </w:p>
        </w:tc>
      </w:tr>
      <w:tr w:rsidR="000B1B99" w:rsidRPr="007B1664" w14:paraId="1387C0D7" w14:textId="77777777">
        <w:trPr>
          <w:trHeight w:val="1001"/>
        </w:trPr>
        <w:tc>
          <w:tcPr>
            <w:tcW w:w="1129" w:type="dxa"/>
          </w:tcPr>
          <w:p w14:paraId="75F43689"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DD193C"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Ativos de nível 2B</w:t>
            </w:r>
          </w:p>
          <w:p w14:paraId="211DE931"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xml:space="preserve"> do Regulamento Delegado (UE) 2015/61 e 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do Regulamento (UE) 2019/2033.</w:t>
            </w:r>
          </w:p>
        </w:tc>
      </w:tr>
      <w:tr w:rsidR="000B1B99" w:rsidRPr="007B1664" w14:paraId="3741B649" w14:textId="77777777">
        <w:tc>
          <w:tcPr>
            <w:tcW w:w="1129" w:type="dxa"/>
          </w:tcPr>
          <w:p w14:paraId="59FDA8E2"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344C974"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Valores mobiliários respaldados por ativos</w:t>
            </w:r>
          </w:p>
          <w:p w14:paraId="30F161CD"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a), e </w:t>
            </w:r>
            <w:r w:rsidRPr="007B1664">
              <w:rPr>
                <w:rFonts w:ascii="Times New Roman" w:hAnsi="Times New Roman"/>
                <w:bCs/>
              </w:rPr>
              <w:t>artigo 13.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g), do Regulamento Delegado (UE) 2015/61.</w:t>
            </w:r>
          </w:p>
        </w:tc>
      </w:tr>
      <w:tr w:rsidR="000B1B99" w:rsidRPr="007B1664" w14:paraId="23A1A1A3" w14:textId="77777777">
        <w:tc>
          <w:tcPr>
            <w:tcW w:w="1129" w:type="dxa"/>
          </w:tcPr>
          <w:p w14:paraId="6EFAECED"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603B35"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
                <w:bCs/>
                <w:u w:val="single"/>
              </w:rPr>
              <w:t>Títulos de dívida de empresas</w:t>
            </w:r>
          </w:p>
          <w:p w14:paraId="25CC2484" w14:textId="77777777" w:rsidR="000B1B99" w:rsidRPr="007B1664" w:rsidRDefault="007B1664">
            <w:pPr>
              <w:spacing w:after="0"/>
              <w:ind w:left="33"/>
              <w:rPr>
                <w:rFonts w:ascii="Times New Roman" w:hAnsi="Times New Roman" w:cs="Times New Roman"/>
                <w:bCs/>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b), do Regulamento Delegado (UE) 2015/61.</w:t>
            </w:r>
          </w:p>
        </w:tc>
      </w:tr>
      <w:tr w:rsidR="000B1B99" w:rsidRPr="007B1664" w14:paraId="775C183E" w14:textId="77777777">
        <w:tc>
          <w:tcPr>
            <w:tcW w:w="1129" w:type="dxa"/>
          </w:tcPr>
          <w:p w14:paraId="0AC2C136"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7AE3AB"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Ações (índice bolsista importante)</w:t>
            </w:r>
          </w:p>
          <w:p w14:paraId="417D1A05" w14:textId="77777777" w:rsidR="000B1B99" w:rsidRPr="007B1664" w:rsidRDefault="007B1664">
            <w:pPr>
              <w:spacing w:after="0"/>
              <w:ind w:left="33"/>
              <w:rPr>
                <w:rFonts w:ascii="Times New Roman" w:eastAsia="Times New Roman" w:hAnsi="Times New Roman" w:cs="Times New Roman"/>
                <w:b/>
                <w:bCs/>
                <w:u w:val="single"/>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c), do </w:t>
            </w:r>
            <w:r w:rsidRPr="007B1664">
              <w:rPr>
                <w:rFonts w:ascii="Times New Roman" w:hAnsi="Times New Roman"/>
                <w:bCs/>
              </w:rPr>
              <w:t>Regulamento Delegado (UE) 2015/61.</w:t>
            </w:r>
          </w:p>
        </w:tc>
      </w:tr>
      <w:tr w:rsidR="000B1B99" w:rsidRPr="007B1664" w14:paraId="5A4494A0" w14:textId="77777777">
        <w:tc>
          <w:tcPr>
            <w:tcW w:w="1129" w:type="dxa"/>
          </w:tcPr>
          <w:p w14:paraId="231AE7F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42398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Facilidades de liquidez autorizadas de utilização limitada de bancos centrais</w:t>
            </w:r>
          </w:p>
          <w:p w14:paraId="39A717B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12.</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d), do Regulamento Delegado (UE) 2015/61.</w:t>
            </w:r>
          </w:p>
        </w:tc>
      </w:tr>
      <w:tr w:rsidR="000B1B99" w:rsidRPr="007B1664" w14:paraId="014C276E" w14:textId="77777777">
        <w:tc>
          <w:tcPr>
            <w:tcW w:w="1129" w:type="dxa"/>
          </w:tcPr>
          <w:p w14:paraId="1406A83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707456"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 xml:space="preserve">Obrigações cobertas de qualidade elevada </w:t>
            </w:r>
            <w:r w:rsidRPr="007B1664">
              <w:rPr>
                <w:rFonts w:ascii="Times New Roman" w:hAnsi="Times New Roman"/>
                <w:b/>
                <w:bCs/>
                <w:u w:val="single"/>
              </w:rPr>
              <w:t>(ponderação de risco de 35 %)</w:t>
            </w:r>
          </w:p>
          <w:p w14:paraId="1B2BFB15" w14:textId="77777777" w:rsidR="000B1B99" w:rsidRPr="007B1664" w:rsidRDefault="007B1664">
            <w:pPr>
              <w:spacing w:after="0"/>
              <w:ind w:left="33"/>
              <w:rPr>
                <w:rFonts w:ascii="Times New Roman" w:eastAsia="Times New Roman" w:hAnsi="Times New Roman" w:cs="Times New Roman"/>
                <w:b/>
                <w:bCs/>
                <w:u w:val="single"/>
              </w:rPr>
            </w:pPr>
            <w:r w:rsidRPr="007B1664">
              <w:rPr>
                <w:rFonts w:ascii="Times New Roman" w:hAnsi="Times New Roman"/>
                <w:bCs/>
              </w:rPr>
              <w:t>Artigo 15.</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2, alínea f), do Regulamento Delegado (UE) 2015/61.</w:t>
            </w:r>
          </w:p>
        </w:tc>
      </w:tr>
      <w:tr w:rsidR="000B1B99" w:rsidRPr="007B1664" w14:paraId="631BD22A" w14:textId="77777777">
        <w:trPr>
          <w:trHeight w:val="1061"/>
        </w:trPr>
        <w:tc>
          <w:tcPr>
            <w:tcW w:w="1129" w:type="dxa"/>
          </w:tcPr>
          <w:p w14:paraId="61914F6C"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EA0BF60"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Ações/unidades de participação de OIC elegíveis</w:t>
            </w:r>
          </w:p>
          <w:p w14:paraId="17DA7C5A"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Artigo 15.</w:t>
            </w:r>
            <w:r w:rsidRPr="007B1664">
              <w:rPr>
                <w:rFonts w:ascii="Times New Roman" w:hAnsi="Times New Roman"/>
                <w:bCs/>
                <w:vertAlign w:val="superscript"/>
              </w:rPr>
              <w:t>o</w:t>
            </w:r>
            <w:r w:rsidRPr="007B1664">
              <w:rPr>
                <w:rFonts w:ascii="Times New Roman" w:hAnsi="Times New Roman"/>
                <w:bCs/>
              </w:rPr>
              <w:t xml:space="preserve"> do Regulamento Delegado (UE) 2015/61</w:t>
            </w:r>
          </w:p>
          <w:p w14:paraId="33E13E32"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xml:space="preserve"> 1, alínea b), do </w:t>
            </w:r>
            <w:r w:rsidRPr="007B1664">
              <w:rPr>
                <w:rFonts w:ascii="Times New Roman" w:hAnsi="Times New Roman"/>
                <w:bCs/>
              </w:rPr>
              <w:t>Regulamento (UE) 2019/2033.</w:t>
            </w:r>
          </w:p>
        </w:tc>
      </w:tr>
      <w:tr w:rsidR="000B1B99" w14:paraId="01C20838" w14:textId="77777777">
        <w:trPr>
          <w:trHeight w:val="568"/>
        </w:trPr>
        <w:tc>
          <w:tcPr>
            <w:tcW w:w="1129" w:type="dxa"/>
          </w:tcPr>
          <w:p w14:paraId="3D5A7278" w14:textId="77777777" w:rsidR="000B1B99" w:rsidRPr="007B1664" w:rsidRDefault="007B1664">
            <w:pPr>
              <w:spacing w:after="120" w:line="240" w:lineRule="auto"/>
              <w:jc w:val="both"/>
              <w:rPr>
                <w:rFonts w:ascii="Times New Roman" w:eastAsia="Times New Roman" w:hAnsi="Times New Roman" w:cs="Times New Roman"/>
                <w:bCs/>
              </w:rPr>
            </w:pPr>
            <w:r w:rsidRPr="007B1664">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1E63DEF" w14:textId="77777777" w:rsidR="000B1B99" w:rsidRPr="007B1664"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
                <w:bCs/>
                <w:u w:val="single"/>
              </w:rPr>
              <w:t>Total de outros instrumentos financeiros elegíveis</w:t>
            </w:r>
          </w:p>
          <w:p w14:paraId="08E2D996" w14:textId="77777777" w:rsidR="000B1B99" w:rsidRDefault="007B1664">
            <w:pPr>
              <w:spacing w:after="120" w:line="240" w:lineRule="auto"/>
              <w:jc w:val="both"/>
              <w:rPr>
                <w:rFonts w:ascii="Times New Roman" w:eastAsia="Times New Roman" w:hAnsi="Times New Roman" w:cs="Times New Roman"/>
                <w:b/>
                <w:bCs/>
                <w:u w:val="single"/>
              </w:rPr>
            </w:pPr>
            <w:r w:rsidRPr="007B1664">
              <w:rPr>
                <w:rFonts w:ascii="Times New Roman" w:hAnsi="Times New Roman"/>
                <w:bCs/>
              </w:rPr>
              <w:t>Artigo 43.</w:t>
            </w:r>
            <w:r w:rsidRPr="007B1664">
              <w:rPr>
                <w:rFonts w:ascii="Times New Roman" w:hAnsi="Times New Roman"/>
                <w:bCs/>
                <w:vertAlign w:val="superscript"/>
              </w:rPr>
              <w:t>o</w:t>
            </w:r>
            <w:r w:rsidRPr="007B1664">
              <w:rPr>
                <w:rFonts w:ascii="Times New Roman" w:hAnsi="Times New Roman"/>
                <w:bCs/>
              </w:rPr>
              <w:t>, n.</w:t>
            </w:r>
            <w:r w:rsidRPr="007B1664">
              <w:rPr>
                <w:rFonts w:ascii="Times New Roman" w:hAnsi="Times New Roman"/>
                <w:bCs/>
                <w:vertAlign w:val="superscript"/>
              </w:rPr>
              <w:t>o</w:t>
            </w:r>
            <w:r w:rsidRPr="007B1664">
              <w:rPr>
                <w:rFonts w:ascii="Times New Roman" w:hAnsi="Times New Roman"/>
                <w:bCs/>
              </w:rPr>
              <w:t> 1, alínea c), do Regulamento (UE) 2019/2033.</w:t>
            </w:r>
          </w:p>
        </w:tc>
      </w:tr>
    </w:tbl>
    <w:p w14:paraId="0BC1ECB7" w14:textId="77777777" w:rsidR="000B1B99" w:rsidRDefault="000B1B99">
      <w:pPr>
        <w:keepNext/>
        <w:spacing w:before="240" w:after="240" w:line="240" w:lineRule="auto"/>
        <w:jc w:val="both"/>
        <w:outlineLvl w:val="1"/>
      </w:pPr>
    </w:p>
    <w:sectPr w:rsidR="000B1B9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83EAB" w14:textId="77777777" w:rsidR="000B1B99" w:rsidRDefault="000B1B99">
      <w:pPr>
        <w:pStyle w:val="Footer"/>
      </w:pPr>
    </w:p>
  </w:endnote>
  <w:endnote w:type="continuationSeparator" w:id="0">
    <w:p w14:paraId="41414F20" w14:textId="77777777" w:rsidR="000B1B99" w:rsidRDefault="000B1B99">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27012" w14:textId="77777777" w:rsidR="000B1B99" w:rsidRDefault="000B1B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D92AE" w14:textId="77777777" w:rsidR="000B1B99" w:rsidRDefault="007B1664">
    <w:pPr>
      <w:pStyle w:val="Footer"/>
      <w:tabs>
        <w:tab w:val="clear" w:pos="4513"/>
        <w:tab w:val="clear" w:pos="9026"/>
        <w:tab w:val="right" w:pos="9071"/>
      </w:tabs>
    </w:pPr>
    <w:r>
      <w:t>PT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C2E31" w14:textId="77777777" w:rsidR="000B1B99" w:rsidRDefault="000B1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2EDF1" w14:textId="77777777" w:rsidR="000B1B99" w:rsidRDefault="000B1B99">
      <w:pPr>
        <w:pStyle w:val="Footer"/>
      </w:pPr>
    </w:p>
  </w:footnote>
  <w:footnote w:type="continuationSeparator" w:id="0">
    <w:p w14:paraId="0D578352" w14:textId="77777777" w:rsidR="000B1B99" w:rsidRDefault="000B1B99">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51E53" w14:textId="77777777" w:rsidR="000B1B99" w:rsidRDefault="007B1664">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9D830" w14:textId="3747129C" w:rsidR="000B1B99" w:rsidRDefault="007B1664">
    <w:pPr>
      <w:pStyle w:val="Header"/>
    </w:pPr>
    <w:r>
      <w:rPr>
        <w:noProof/>
      </w:rPr>
      <mc:AlternateContent>
        <mc:Choice Requires="wps">
          <w:drawing>
            <wp:anchor distT="0" distB="0" distL="114300" distR="114300" simplePos="0" relativeHeight="251659264" behindDoc="0" locked="0" layoutInCell="0" allowOverlap="1" wp14:anchorId="3CA1BBE5" wp14:editId="3D062B09">
              <wp:simplePos x="0" y="0"/>
              <wp:positionH relativeFrom="page">
                <wp:posOffset>0</wp:posOffset>
              </wp:positionH>
              <wp:positionV relativeFrom="page">
                <wp:posOffset>190500</wp:posOffset>
              </wp:positionV>
              <wp:extent cx="7560310" cy="273050"/>
              <wp:effectExtent l="0" t="0" r="0" b="12700"/>
              <wp:wrapNone/>
              <wp:docPr id="1" name="MSIPCM1322400ebba993109b85c921"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615B337" w14:textId="03576401" w:rsidR="007B1664" w:rsidRPr="007B1664" w:rsidRDefault="007B1664" w:rsidP="007B1664">
                          <w:pPr>
                            <w:spacing w:after="0"/>
                            <w:rPr>
                              <w:rFonts w:ascii="Calibri" w:hAnsi="Calibri" w:cs="Calibri"/>
                              <w:color w:val="000000"/>
                              <w:sz w:val="24"/>
                            </w:rPr>
                          </w:pPr>
                          <w:r w:rsidRPr="007B1664">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CA1BBE5" id="_x0000_t202" coordsize="21600,21600" o:spt="202" path="m,l,21600r21600,l21600,xe">
              <v:stroke joinstyle="miter"/>
              <v:path gradientshapeok="t" o:connecttype="rect"/>
            </v:shapetype>
            <v:shape id="MSIPCM1322400ebba993109b85c921"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" o:allowincell="f" filled="f" stroked="f" strokeweight=".5pt">
              <v:fill o:detectmouseclick="t"/>
              <v:textbox inset="20pt,0,,0">
                <w:txbxContent>
                  <w:p w14:paraId="5615B337" w14:textId="03576401" w:rsidR="007B1664" w:rsidRPr="007B1664" w:rsidRDefault="007B1664" w:rsidP="007B1664">
                    <w:pPr>
                      <w:spacing w:after="0"/>
                      <w:rPr>
                        <w:rFonts w:ascii="Calibri" w:hAnsi="Calibri" w:cs="Calibri"/>
                        <w:color w:val="000000"/>
                        <w:sz w:val="24"/>
                      </w:rPr>
                    </w:pPr>
                    <w:r w:rsidRPr="007B1664">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6AF0B" w14:textId="77777777" w:rsidR="000B1B99" w:rsidRDefault="007B1664">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B1B99"/>
    <w:rsid w:val="000B1B99"/>
    <w:rsid w:val="007B1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1604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pt-PT"/>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35429AB1-52DB-4076-9244-923291470F50}">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45</Pages>
  <Words>15852</Words>
  <Characters>90359</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2022-01-14T17:09:00Z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2022-01-14T17:09:06Z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85bcbd6a-4f78-4bd7-8a0a-55b1316d94ea</vt:lpwstr>
  </property>
  <property fmtid="{D5CDD505-2E9C-101B-9397-08002B2CF9AE}" pid="8" name="MSIP_Label_5c7eb9de-735b-4a68-8fe4-c9c62709b012_ContentBits">
    <vt:lpwstr>1</vt:lpwstr>
  </property>
</Properties>
</file>