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D03A8" w14:textId="6503E52F" w:rsidR="00163E6F" w:rsidRPr="00CC1FCD" w:rsidRDefault="00163E6F" w:rsidP="00163E6F">
      <w:pPr>
        <w:jc w:val="center"/>
        <w:rPr>
          <w:rFonts w:ascii="Times New Roman" w:hAnsi="Times New Roman"/>
          <w:sz w:val="24"/>
        </w:rPr>
      </w:pPr>
      <w:bookmarkStart w:id="0" w:name="_Toc262568021"/>
      <w:bookmarkStart w:id="1" w:name="_Toc295829847"/>
      <w:r w:rsidRPr="00CC1FCD">
        <w:rPr>
          <w:rFonts w:ascii="Times New Roman" w:hAnsi="Times New Roman"/>
          <w:sz w:val="24"/>
        </w:rPr>
        <w:t>ANNEX II</w:t>
      </w:r>
    </w:p>
    <w:p w14:paraId="5971EB5E" w14:textId="713E1C5E" w:rsidR="00163E6F" w:rsidRPr="00CC1FCD" w:rsidRDefault="00163E6F" w:rsidP="00163E6F">
      <w:pPr>
        <w:jc w:val="center"/>
        <w:rPr>
          <w:rFonts w:ascii="Times New Roman" w:hAnsi="Times New Roman"/>
          <w:b/>
          <w:sz w:val="24"/>
          <w:lang w:eastAsia="de-DE"/>
        </w:rPr>
      </w:pPr>
      <w:r w:rsidRPr="00CC1FCD">
        <w:rPr>
          <w:rFonts w:ascii="Times New Roman" w:hAnsi="Times New Roman"/>
          <w:b/>
          <w:sz w:val="24"/>
          <w:lang w:eastAsia="de-DE"/>
        </w:rPr>
        <w:t>REPORTING FOR ISSUERS OF ASSET-REFERENCED TOKEN</w:t>
      </w:r>
      <w:r w:rsidR="00CC1FCD">
        <w:rPr>
          <w:rFonts w:ascii="Times New Roman" w:hAnsi="Times New Roman"/>
          <w:b/>
          <w:sz w:val="24"/>
          <w:lang w:eastAsia="de-DE"/>
        </w:rPr>
        <w:t>S</w:t>
      </w:r>
      <w:r w:rsidRPr="00CC1FCD">
        <w:rPr>
          <w:rFonts w:ascii="Times New Roman" w:hAnsi="Times New Roman"/>
          <w:b/>
          <w:sz w:val="24"/>
          <w:lang w:eastAsia="de-DE"/>
        </w:rPr>
        <w:t xml:space="preserve"> AND OF E-MONEY TOKENS </w:t>
      </w:r>
      <w:r w:rsidR="00CC1FCD">
        <w:rPr>
          <w:rFonts w:ascii="Times New Roman" w:hAnsi="Times New Roman"/>
          <w:b/>
          <w:sz w:val="24"/>
          <w:lang w:eastAsia="de-DE"/>
        </w:rPr>
        <w:t>–</w:t>
      </w:r>
      <w:r w:rsidRPr="00CC1FCD">
        <w:rPr>
          <w:rFonts w:ascii="Times New Roman" w:hAnsi="Times New Roman"/>
          <w:b/>
          <w:sz w:val="24"/>
          <w:lang w:eastAsia="de-DE"/>
        </w:rPr>
        <w:t xml:space="preserve"> INSTRUCTIONS </w:t>
      </w:r>
    </w:p>
    <w:p w14:paraId="025F5CDA" w14:textId="77777777" w:rsidR="00163E6F" w:rsidRPr="00CC1FCD" w:rsidRDefault="00163E6F" w:rsidP="00163E6F">
      <w:pPr>
        <w:jc w:val="center"/>
        <w:rPr>
          <w:rFonts w:ascii="Times New Roman" w:hAnsi="Times New Roman"/>
          <w:b/>
          <w:sz w:val="24"/>
          <w:lang w:eastAsia="de-DE"/>
        </w:rPr>
      </w:pPr>
    </w:p>
    <w:p w14:paraId="1F79D9A9" w14:textId="76D32547" w:rsidR="00163E6F" w:rsidRPr="00CC1FCD" w:rsidRDefault="00163E6F" w:rsidP="00C76F31">
      <w:pPr>
        <w:pStyle w:val="InstructionsText"/>
        <w:rPr>
          <w:lang w:val="en-GB"/>
        </w:rPr>
      </w:pPr>
      <w:r w:rsidRPr="00CC1FCD">
        <w:rPr>
          <w:lang w:val="en-GB"/>
        </w:rPr>
        <w:t xml:space="preserve">Table of </w:t>
      </w:r>
      <w:r w:rsidR="00CC1FCD">
        <w:rPr>
          <w:lang w:val="en-GB"/>
        </w:rPr>
        <w:t>c</w:t>
      </w:r>
      <w:r w:rsidRPr="00CC1FCD">
        <w:rPr>
          <w:lang w:val="en-GB"/>
        </w:rPr>
        <w:t>ontents</w:t>
      </w:r>
    </w:p>
    <w:p w14:paraId="7E3DC700" w14:textId="3F0DBD6D" w:rsidR="00837949" w:rsidRPr="00CC1FCD" w:rsidRDefault="00163E6F">
      <w:pPr>
        <w:pStyle w:val="TOC2"/>
        <w:rPr>
          <w:rFonts w:asciiTheme="minorHAnsi" w:eastAsiaTheme="minorEastAsia" w:hAnsiTheme="minorHAnsi" w:cstheme="minorBidi"/>
          <w:b w:val="0"/>
          <w:smallCaps w:val="0"/>
          <w:noProof w:val="0"/>
          <w:kern w:val="2"/>
          <w:sz w:val="24"/>
          <w:szCs w:val="24"/>
          <w:lang w:eastAsia="en-GB"/>
          <w14:ligatures w14:val="standardContextual"/>
        </w:rPr>
      </w:pPr>
      <w:r w:rsidRPr="00CC1FCD">
        <w:rPr>
          <w:noProof w:val="0"/>
        </w:rPr>
        <w:fldChar w:fldCharType="begin"/>
      </w:r>
      <w:r w:rsidRPr="00CC1FCD">
        <w:rPr>
          <w:noProof w:val="0"/>
        </w:rPr>
        <w:instrText>TOC \o "1-3" \h \z \u</w:instrText>
      </w:r>
      <w:r w:rsidRPr="00CC1FCD">
        <w:rPr>
          <w:noProof w:val="0"/>
        </w:rPr>
        <w:fldChar w:fldCharType="separate"/>
      </w:r>
      <w:hyperlink w:anchor="_Toc184211439" w:history="1">
        <w:r w:rsidR="00837949" w:rsidRPr="00CC1FCD">
          <w:rPr>
            <w:rStyle w:val="Hyperlink"/>
            <w:noProof w:val="0"/>
          </w:rPr>
          <w:t>PART I: GENERAL INSTRUCTIONS</w:t>
        </w:r>
        <w:r w:rsidR="00837949" w:rsidRPr="00CC1FCD">
          <w:rPr>
            <w:noProof w:val="0"/>
            <w:webHidden/>
          </w:rPr>
          <w:tab/>
        </w:r>
        <w:r w:rsidR="00837949" w:rsidRPr="00CC1FCD">
          <w:rPr>
            <w:noProof w:val="0"/>
            <w:webHidden/>
          </w:rPr>
          <w:fldChar w:fldCharType="begin"/>
        </w:r>
        <w:r w:rsidR="00837949" w:rsidRPr="00CC1FCD">
          <w:rPr>
            <w:noProof w:val="0"/>
            <w:webHidden/>
          </w:rPr>
          <w:instrText xml:space="preserve"> PAGEREF _Toc184211439 \h </w:instrText>
        </w:r>
        <w:r w:rsidR="00837949" w:rsidRPr="00CC1FCD">
          <w:rPr>
            <w:noProof w:val="0"/>
            <w:webHidden/>
          </w:rPr>
        </w:r>
        <w:r w:rsidR="00837949" w:rsidRPr="00CC1FCD">
          <w:rPr>
            <w:noProof w:val="0"/>
            <w:webHidden/>
          </w:rPr>
          <w:fldChar w:fldCharType="separate"/>
        </w:r>
        <w:r w:rsidR="00837949" w:rsidRPr="00CC1FCD">
          <w:rPr>
            <w:noProof w:val="0"/>
            <w:webHidden/>
          </w:rPr>
          <w:t>2</w:t>
        </w:r>
        <w:r w:rsidR="00837949" w:rsidRPr="00CC1FCD">
          <w:rPr>
            <w:noProof w:val="0"/>
            <w:webHidden/>
          </w:rPr>
          <w:fldChar w:fldCharType="end"/>
        </w:r>
      </w:hyperlink>
    </w:p>
    <w:p w14:paraId="230844C3" w14:textId="0BB0865E"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0" w:history="1">
        <w:r w:rsidRPr="00CC1FCD">
          <w:rPr>
            <w:rStyle w:val="Hyperlink"/>
            <w:noProof w:val="0"/>
          </w:rPr>
          <w:t>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Structure</w:t>
        </w:r>
        <w:r w:rsidRPr="00CC1FCD">
          <w:rPr>
            <w:noProof w:val="0"/>
            <w:webHidden/>
          </w:rPr>
          <w:tab/>
        </w:r>
        <w:r w:rsidRPr="00CC1FCD">
          <w:rPr>
            <w:noProof w:val="0"/>
            <w:webHidden/>
          </w:rPr>
          <w:fldChar w:fldCharType="begin"/>
        </w:r>
        <w:r w:rsidRPr="00CC1FCD">
          <w:rPr>
            <w:noProof w:val="0"/>
            <w:webHidden/>
          </w:rPr>
          <w:instrText xml:space="preserve"> PAGEREF _Toc184211440 \h </w:instrText>
        </w:r>
        <w:r w:rsidRPr="00CC1FCD">
          <w:rPr>
            <w:noProof w:val="0"/>
            <w:webHidden/>
          </w:rPr>
        </w:r>
        <w:r w:rsidRPr="00CC1FCD">
          <w:rPr>
            <w:noProof w:val="0"/>
            <w:webHidden/>
          </w:rPr>
          <w:fldChar w:fldCharType="separate"/>
        </w:r>
        <w:r w:rsidRPr="00CC1FCD">
          <w:rPr>
            <w:noProof w:val="0"/>
            <w:webHidden/>
          </w:rPr>
          <w:t>2</w:t>
        </w:r>
        <w:r w:rsidRPr="00CC1FCD">
          <w:rPr>
            <w:noProof w:val="0"/>
            <w:webHidden/>
          </w:rPr>
          <w:fldChar w:fldCharType="end"/>
        </w:r>
      </w:hyperlink>
    </w:p>
    <w:p w14:paraId="0F42A6C3" w14:textId="79F17431"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1" w:history="1">
        <w:r w:rsidRPr="00CC1FCD">
          <w:rPr>
            <w:rStyle w:val="Hyperlink"/>
            <w:noProof w:val="0"/>
          </w:rPr>
          <w:t>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Scope of reporting</w:t>
        </w:r>
        <w:r w:rsidRPr="00CC1FCD">
          <w:rPr>
            <w:noProof w:val="0"/>
            <w:webHidden/>
          </w:rPr>
          <w:tab/>
        </w:r>
        <w:r w:rsidRPr="00CC1FCD">
          <w:rPr>
            <w:noProof w:val="0"/>
            <w:webHidden/>
          </w:rPr>
          <w:fldChar w:fldCharType="begin"/>
        </w:r>
        <w:r w:rsidRPr="00CC1FCD">
          <w:rPr>
            <w:noProof w:val="0"/>
            <w:webHidden/>
          </w:rPr>
          <w:instrText xml:space="preserve"> PAGEREF _Toc184211441 \h </w:instrText>
        </w:r>
        <w:r w:rsidRPr="00CC1FCD">
          <w:rPr>
            <w:noProof w:val="0"/>
            <w:webHidden/>
          </w:rPr>
        </w:r>
        <w:r w:rsidRPr="00CC1FCD">
          <w:rPr>
            <w:noProof w:val="0"/>
            <w:webHidden/>
          </w:rPr>
          <w:fldChar w:fldCharType="separate"/>
        </w:r>
        <w:r w:rsidRPr="00CC1FCD">
          <w:rPr>
            <w:noProof w:val="0"/>
            <w:webHidden/>
          </w:rPr>
          <w:t>2</w:t>
        </w:r>
        <w:r w:rsidRPr="00CC1FCD">
          <w:rPr>
            <w:noProof w:val="0"/>
            <w:webHidden/>
          </w:rPr>
          <w:fldChar w:fldCharType="end"/>
        </w:r>
      </w:hyperlink>
    </w:p>
    <w:p w14:paraId="0B0449FB" w14:textId="346E88D1"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2" w:history="1">
        <w:r w:rsidRPr="00CC1FCD">
          <w:rPr>
            <w:rStyle w:val="Hyperlink"/>
            <w:noProof w:val="0"/>
          </w:rPr>
          <w:t>PART II: OWN FUNDS (S 09.01 and S 09.02)</w:t>
        </w:r>
        <w:r w:rsidRPr="00CC1FCD">
          <w:rPr>
            <w:noProof w:val="0"/>
            <w:webHidden/>
          </w:rPr>
          <w:tab/>
        </w:r>
        <w:r w:rsidRPr="00CC1FCD">
          <w:rPr>
            <w:noProof w:val="0"/>
            <w:webHidden/>
          </w:rPr>
          <w:fldChar w:fldCharType="begin"/>
        </w:r>
        <w:r w:rsidRPr="00CC1FCD">
          <w:rPr>
            <w:noProof w:val="0"/>
            <w:webHidden/>
          </w:rPr>
          <w:instrText xml:space="preserve"> PAGEREF _Toc184211442 \h </w:instrText>
        </w:r>
        <w:r w:rsidRPr="00CC1FCD">
          <w:rPr>
            <w:noProof w:val="0"/>
            <w:webHidden/>
          </w:rPr>
        </w:r>
        <w:r w:rsidRPr="00CC1FCD">
          <w:rPr>
            <w:noProof w:val="0"/>
            <w:webHidden/>
          </w:rPr>
          <w:fldChar w:fldCharType="separate"/>
        </w:r>
        <w:r w:rsidRPr="00CC1FCD">
          <w:rPr>
            <w:noProof w:val="0"/>
            <w:webHidden/>
          </w:rPr>
          <w:t>4</w:t>
        </w:r>
        <w:r w:rsidRPr="00CC1FCD">
          <w:rPr>
            <w:noProof w:val="0"/>
            <w:webHidden/>
          </w:rPr>
          <w:fldChar w:fldCharType="end"/>
        </w:r>
      </w:hyperlink>
    </w:p>
    <w:p w14:paraId="3E96CC12" w14:textId="23ABAC25"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3" w:history="1">
        <w:r w:rsidRPr="00CC1FCD">
          <w:rPr>
            <w:rStyle w:val="Hyperlink"/>
            <w:noProof w:val="0"/>
          </w:rPr>
          <w:t>III.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09.01</w:t>
        </w:r>
        <w:r w:rsidRPr="00CC1FCD">
          <w:rPr>
            <w:noProof w:val="0"/>
            <w:webHidden/>
          </w:rPr>
          <w:tab/>
        </w:r>
        <w:r w:rsidRPr="00CC1FCD">
          <w:rPr>
            <w:noProof w:val="0"/>
            <w:webHidden/>
          </w:rPr>
          <w:fldChar w:fldCharType="begin"/>
        </w:r>
        <w:r w:rsidRPr="00CC1FCD">
          <w:rPr>
            <w:noProof w:val="0"/>
            <w:webHidden/>
          </w:rPr>
          <w:instrText xml:space="preserve"> PAGEREF _Toc184211443 \h </w:instrText>
        </w:r>
        <w:r w:rsidRPr="00CC1FCD">
          <w:rPr>
            <w:noProof w:val="0"/>
            <w:webHidden/>
          </w:rPr>
        </w:r>
        <w:r w:rsidRPr="00CC1FCD">
          <w:rPr>
            <w:noProof w:val="0"/>
            <w:webHidden/>
          </w:rPr>
          <w:fldChar w:fldCharType="separate"/>
        </w:r>
        <w:r w:rsidRPr="00CC1FCD">
          <w:rPr>
            <w:noProof w:val="0"/>
            <w:webHidden/>
          </w:rPr>
          <w:t>4</w:t>
        </w:r>
        <w:r w:rsidRPr="00CC1FCD">
          <w:rPr>
            <w:noProof w:val="0"/>
            <w:webHidden/>
          </w:rPr>
          <w:fldChar w:fldCharType="end"/>
        </w:r>
      </w:hyperlink>
    </w:p>
    <w:p w14:paraId="3A1F969F" w14:textId="710EB139"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4" w:history="1">
        <w:r w:rsidRPr="00CC1FCD">
          <w:rPr>
            <w:rStyle w:val="Hyperlink"/>
            <w:noProof w:val="0"/>
          </w:rPr>
          <w:t>IV.</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09.01</w:t>
        </w:r>
        <w:r w:rsidRPr="00CC1FCD">
          <w:rPr>
            <w:noProof w:val="0"/>
            <w:webHidden/>
          </w:rPr>
          <w:tab/>
        </w:r>
        <w:r w:rsidRPr="00CC1FCD">
          <w:rPr>
            <w:noProof w:val="0"/>
            <w:webHidden/>
          </w:rPr>
          <w:fldChar w:fldCharType="begin"/>
        </w:r>
        <w:r w:rsidRPr="00CC1FCD">
          <w:rPr>
            <w:noProof w:val="0"/>
            <w:webHidden/>
          </w:rPr>
          <w:instrText xml:space="preserve"> PAGEREF _Toc184211444 \h </w:instrText>
        </w:r>
        <w:r w:rsidRPr="00CC1FCD">
          <w:rPr>
            <w:noProof w:val="0"/>
            <w:webHidden/>
          </w:rPr>
        </w:r>
        <w:r w:rsidRPr="00CC1FCD">
          <w:rPr>
            <w:noProof w:val="0"/>
            <w:webHidden/>
          </w:rPr>
          <w:fldChar w:fldCharType="separate"/>
        </w:r>
        <w:r w:rsidRPr="00CC1FCD">
          <w:rPr>
            <w:noProof w:val="0"/>
            <w:webHidden/>
          </w:rPr>
          <w:t>4</w:t>
        </w:r>
        <w:r w:rsidRPr="00CC1FCD">
          <w:rPr>
            <w:noProof w:val="0"/>
            <w:webHidden/>
          </w:rPr>
          <w:fldChar w:fldCharType="end"/>
        </w:r>
      </w:hyperlink>
    </w:p>
    <w:p w14:paraId="68E2218F" w14:textId="2F8DF0C5"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5" w:history="1">
        <w:r w:rsidRPr="00CC1FCD">
          <w:rPr>
            <w:rStyle w:val="Hyperlink"/>
            <w:noProof w:val="0"/>
          </w:rPr>
          <w:t>V.</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09.02</w:t>
        </w:r>
        <w:r w:rsidRPr="00CC1FCD">
          <w:rPr>
            <w:noProof w:val="0"/>
            <w:webHidden/>
          </w:rPr>
          <w:tab/>
        </w:r>
        <w:r w:rsidRPr="00CC1FCD">
          <w:rPr>
            <w:noProof w:val="0"/>
            <w:webHidden/>
          </w:rPr>
          <w:fldChar w:fldCharType="begin"/>
        </w:r>
        <w:r w:rsidRPr="00CC1FCD">
          <w:rPr>
            <w:noProof w:val="0"/>
            <w:webHidden/>
          </w:rPr>
          <w:instrText xml:space="preserve"> PAGEREF _Toc184211445 \h </w:instrText>
        </w:r>
        <w:r w:rsidRPr="00CC1FCD">
          <w:rPr>
            <w:noProof w:val="0"/>
            <w:webHidden/>
          </w:rPr>
        </w:r>
        <w:r w:rsidRPr="00CC1FCD">
          <w:rPr>
            <w:noProof w:val="0"/>
            <w:webHidden/>
          </w:rPr>
          <w:fldChar w:fldCharType="separate"/>
        </w:r>
        <w:r w:rsidRPr="00CC1FCD">
          <w:rPr>
            <w:noProof w:val="0"/>
            <w:webHidden/>
          </w:rPr>
          <w:t>5</w:t>
        </w:r>
        <w:r w:rsidRPr="00CC1FCD">
          <w:rPr>
            <w:noProof w:val="0"/>
            <w:webHidden/>
          </w:rPr>
          <w:fldChar w:fldCharType="end"/>
        </w:r>
      </w:hyperlink>
    </w:p>
    <w:p w14:paraId="462E55F2" w14:textId="114D461F"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6" w:history="1">
        <w:r w:rsidRPr="00CC1FCD">
          <w:rPr>
            <w:rStyle w:val="Hyperlink"/>
            <w:noProof w:val="0"/>
          </w:rPr>
          <w:t>VI.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09.02</w:t>
        </w:r>
        <w:r w:rsidRPr="00CC1FCD">
          <w:rPr>
            <w:noProof w:val="0"/>
            <w:webHidden/>
          </w:rPr>
          <w:tab/>
        </w:r>
        <w:r w:rsidRPr="00CC1FCD">
          <w:rPr>
            <w:noProof w:val="0"/>
            <w:webHidden/>
          </w:rPr>
          <w:fldChar w:fldCharType="begin"/>
        </w:r>
        <w:r w:rsidRPr="00CC1FCD">
          <w:rPr>
            <w:noProof w:val="0"/>
            <w:webHidden/>
          </w:rPr>
          <w:instrText xml:space="preserve"> PAGEREF _Toc184211446 \h </w:instrText>
        </w:r>
        <w:r w:rsidRPr="00CC1FCD">
          <w:rPr>
            <w:noProof w:val="0"/>
            <w:webHidden/>
          </w:rPr>
        </w:r>
        <w:r w:rsidRPr="00CC1FCD">
          <w:rPr>
            <w:noProof w:val="0"/>
            <w:webHidden/>
          </w:rPr>
          <w:fldChar w:fldCharType="separate"/>
        </w:r>
        <w:r w:rsidRPr="00CC1FCD">
          <w:rPr>
            <w:noProof w:val="0"/>
            <w:webHidden/>
          </w:rPr>
          <w:t>5</w:t>
        </w:r>
        <w:r w:rsidRPr="00CC1FCD">
          <w:rPr>
            <w:noProof w:val="0"/>
            <w:webHidden/>
          </w:rPr>
          <w:fldChar w:fldCharType="end"/>
        </w:r>
      </w:hyperlink>
    </w:p>
    <w:p w14:paraId="7AA40D70" w14:textId="5D7916F4"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7" w:history="1">
        <w:r w:rsidRPr="00CC1FCD">
          <w:rPr>
            <w:rStyle w:val="Hyperlink"/>
            <w:noProof w:val="0"/>
          </w:rPr>
          <w:t>PART III: MATURITY LADDER OF THE RESERVE OF ASSETS (S 03.03)</w:t>
        </w:r>
        <w:r w:rsidRPr="00CC1FCD">
          <w:rPr>
            <w:noProof w:val="0"/>
            <w:webHidden/>
          </w:rPr>
          <w:tab/>
        </w:r>
        <w:r w:rsidRPr="00CC1FCD">
          <w:rPr>
            <w:noProof w:val="0"/>
            <w:webHidden/>
          </w:rPr>
          <w:fldChar w:fldCharType="begin"/>
        </w:r>
        <w:r w:rsidRPr="00CC1FCD">
          <w:rPr>
            <w:noProof w:val="0"/>
            <w:webHidden/>
          </w:rPr>
          <w:instrText xml:space="preserve"> PAGEREF _Toc184211447 \h </w:instrText>
        </w:r>
        <w:r w:rsidRPr="00CC1FCD">
          <w:rPr>
            <w:noProof w:val="0"/>
            <w:webHidden/>
          </w:rPr>
        </w:r>
        <w:r w:rsidRPr="00CC1FCD">
          <w:rPr>
            <w:noProof w:val="0"/>
            <w:webHidden/>
          </w:rPr>
          <w:fldChar w:fldCharType="separate"/>
        </w:r>
        <w:r w:rsidRPr="00CC1FCD">
          <w:rPr>
            <w:noProof w:val="0"/>
            <w:webHidden/>
          </w:rPr>
          <w:t>6</w:t>
        </w:r>
        <w:r w:rsidRPr="00CC1FCD">
          <w:rPr>
            <w:noProof w:val="0"/>
            <w:webHidden/>
          </w:rPr>
          <w:fldChar w:fldCharType="end"/>
        </w:r>
      </w:hyperlink>
    </w:p>
    <w:p w14:paraId="02A46A71" w14:textId="3342E0DB"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8" w:history="1">
        <w:r w:rsidRPr="00CC1FCD">
          <w:rPr>
            <w:rStyle w:val="Hyperlink"/>
            <w:noProof w:val="0"/>
          </w:rPr>
          <w:t>VII.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03.03</w:t>
        </w:r>
        <w:r w:rsidRPr="00CC1FCD">
          <w:rPr>
            <w:noProof w:val="0"/>
            <w:webHidden/>
          </w:rPr>
          <w:tab/>
        </w:r>
        <w:r w:rsidRPr="00CC1FCD">
          <w:rPr>
            <w:noProof w:val="0"/>
            <w:webHidden/>
          </w:rPr>
          <w:fldChar w:fldCharType="begin"/>
        </w:r>
        <w:r w:rsidRPr="00CC1FCD">
          <w:rPr>
            <w:noProof w:val="0"/>
            <w:webHidden/>
          </w:rPr>
          <w:instrText xml:space="preserve"> PAGEREF _Toc184211448 \h </w:instrText>
        </w:r>
        <w:r w:rsidRPr="00CC1FCD">
          <w:rPr>
            <w:noProof w:val="0"/>
            <w:webHidden/>
          </w:rPr>
        </w:r>
        <w:r w:rsidRPr="00CC1FCD">
          <w:rPr>
            <w:noProof w:val="0"/>
            <w:webHidden/>
          </w:rPr>
          <w:fldChar w:fldCharType="separate"/>
        </w:r>
        <w:r w:rsidRPr="00CC1FCD">
          <w:rPr>
            <w:noProof w:val="0"/>
            <w:webHidden/>
          </w:rPr>
          <w:t>6</w:t>
        </w:r>
        <w:r w:rsidRPr="00CC1FCD">
          <w:rPr>
            <w:noProof w:val="0"/>
            <w:webHidden/>
          </w:rPr>
          <w:fldChar w:fldCharType="end"/>
        </w:r>
      </w:hyperlink>
    </w:p>
    <w:p w14:paraId="78942220" w14:textId="4E2DFEDC"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49" w:history="1">
        <w:r w:rsidRPr="00CC1FCD">
          <w:rPr>
            <w:rStyle w:val="Hyperlink"/>
            <w:noProof w:val="0"/>
          </w:rPr>
          <w:t>VIII.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03.03</w:t>
        </w:r>
        <w:r w:rsidRPr="00CC1FCD">
          <w:rPr>
            <w:noProof w:val="0"/>
            <w:webHidden/>
          </w:rPr>
          <w:tab/>
        </w:r>
        <w:r w:rsidRPr="00CC1FCD">
          <w:rPr>
            <w:noProof w:val="0"/>
            <w:webHidden/>
          </w:rPr>
          <w:fldChar w:fldCharType="begin"/>
        </w:r>
        <w:r w:rsidRPr="00CC1FCD">
          <w:rPr>
            <w:noProof w:val="0"/>
            <w:webHidden/>
          </w:rPr>
          <w:instrText xml:space="preserve"> PAGEREF _Toc184211449 \h </w:instrText>
        </w:r>
        <w:r w:rsidRPr="00CC1FCD">
          <w:rPr>
            <w:noProof w:val="0"/>
            <w:webHidden/>
          </w:rPr>
        </w:r>
        <w:r w:rsidRPr="00CC1FCD">
          <w:rPr>
            <w:noProof w:val="0"/>
            <w:webHidden/>
          </w:rPr>
          <w:fldChar w:fldCharType="separate"/>
        </w:r>
        <w:r w:rsidRPr="00CC1FCD">
          <w:rPr>
            <w:noProof w:val="0"/>
            <w:webHidden/>
          </w:rPr>
          <w:t>7</w:t>
        </w:r>
        <w:r w:rsidRPr="00CC1FCD">
          <w:rPr>
            <w:noProof w:val="0"/>
            <w:webHidden/>
          </w:rPr>
          <w:fldChar w:fldCharType="end"/>
        </w:r>
      </w:hyperlink>
    </w:p>
    <w:p w14:paraId="65EE24DB" w14:textId="3C81FD5E"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0" w:history="1">
        <w:r w:rsidRPr="00CC1FCD">
          <w:rPr>
            <w:rStyle w:val="Hyperlink"/>
            <w:noProof w:val="0"/>
          </w:rPr>
          <w:t>PART IV: ADDITIONAL INFORMATION FOR SIGNIFICANCE ASSESSMENT (S 10.01, S 10.02 and S 10.03)</w:t>
        </w:r>
        <w:r w:rsidRPr="00CC1FCD">
          <w:rPr>
            <w:noProof w:val="0"/>
            <w:webHidden/>
          </w:rPr>
          <w:tab/>
        </w:r>
        <w:r w:rsidRPr="00CC1FCD">
          <w:rPr>
            <w:noProof w:val="0"/>
            <w:webHidden/>
          </w:rPr>
          <w:fldChar w:fldCharType="begin"/>
        </w:r>
        <w:r w:rsidRPr="00CC1FCD">
          <w:rPr>
            <w:noProof w:val="0"/>
            <w:webHidden/>
          </w:rPr>
          <w:instrText xml:space="preserve"> PAGEREF _Toc184211450 \h </w:instrText>
        </w:r>
        <w:r w:rsidRPr="00CC1FCD">
          <w:rPr>
            <w:noProof w:val="0"/>
            <w:webHidden/>
          </w:rPr>
        </w:r>
        <w:r w:rsidRPr="00CC1FCD">
          <w:rPr>
            <w:noProof w:val="0"/>
            <w:webHidden/>
          </w:rPr>
          <w:fldChar w:fldCharType="separate"/>
        </w:r>
        <w:r w:rsidRPr="00CC1FCD">
          <w:rPr>
            <w:noProof w:val="0"/>
            <w:webHidden/>
          </w:rPr>
          <w:t>15</w:t>
        </w:r>
        <w:r w:rsidRPr="00CC1FCD">
          <w:rPr>
            <w:noProof w:val="0"/>
            <w:webHidden/>
          </w:rPr>
          <w:fldChar w:fldCharType="end"/>
        </w:r>
      </w:hyperlink>
    </w:p>
    <w:p w14:paraId="7C08C071" w14:textId="69135655"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1" w:history="1">
        <w:r w:rsidRPr="00CC1FCD">
          <w:rPr>
            <w:rStyle w:val="Hyperlink"/>
            <w:noProof w:val="0"/>
          </w:rPr>
          <w:t>IX.</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10.01</w:t>
        </w:r>
        <w:r w:rsidRPr="00CC1FCD">
          <w:rPr>
            <w:noProof w:val="0"/>
            <w:webHidden/>
          </w:rPr>
          <w:tab/>
        </w:r>
        <w:r w:rsidRPr="00CC1FCD">
          <w:rPr>
            <w:noProof w:val="0"/>
            <w:webHidden/>
          </w:rPr>
          <w:fldChar w:fldCharType="begin"/>
        </w:r>
        <w:r w:rsidRPr="00CC1FCD">
          <w:rPr>
            <w:noProof w:val="0"/>
            <w:webHidden/>
          </w:rPr>
          <w:instrText xml:space="preserve"> PAGEREF _Toc184211451 \h </w:instrText>
        </w:r>
        <w:r w:rsidRPr="00CC1FCD">
          <w:rPr>
            <w:noProof w:val="0"/>
            <w:webHidden/>
          </w:rPr>
        </w:r>
        <w:r w:rsidRPr="00CC1FCD">
          <w:rPr>
            <w:noProof w:val="0"/>
            <w:webHidden/>
          </w:rPr>
          <w:fldChar w:fldCharType="separate"/>
        </w:r>
        <w:r w:rsidRPr="00CC1FCD">
          <w:rPr>
            <w:noProof w:val="0"/>
            <w:webHidden/>
          </w:rPr>
          <w:t>15</w:t>
        </w:r>
        <w:r w:rsidRPr="00CC1FCD">
          <w:rPr>
            <w:noProof w:val="0"/>
            <w:webHidden/>
          </w:rPr>
          <w:fldChar w:fldCharType="end"/>
        </w:r>
      </w:hyperlink>
    </w:p>
    <w:p w14:paraId="76CBBBEA" w14:textId="43839574"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2" w:history="1">
        <w:r w:rsidRPr="00CC1FCD">
          <w:rPr>
            <w:rStyle w:val="Hyperlink"/>
            <w:noProof w:val="0"/>
          </w:rPr>
          <w:t>X.</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10.01</w:t>
        </w:r>
        <w:r w:rsidRPr="00CC1FCD">
          <w:rPr>
            <w:noProof w:val="0"/>
            <w:webHidden/>
          </w:rPr>
          <w:tab/>
        </w:r>
        <w:r w:rsidRPr="00CC1FCD">
          <w:rPr>
            <w:noProof w:val="0"/>
            <w:webHidden/>
          </w:rPr>
          <w:fldChar w:fldCharType="begin"/>
        </w:r>
        <w:r w:rsidRPr="00CC1FCD">
          <w:rPr>
            <w:noProof w:val="0"/>
            <w:webHidden/>
          </w:rPr>
          <w:instrText xml:space="preserve"> PAGEREF _Toc184211452 \h </w:instrText>
        </w:r>
        <w:r w:rsidRPr="00CC1FCD">
          <w:rPr>
            <w:noProof w:val="0"/>
            <w:webHidden/>
          </w:rPr>
        </w:r>
        <w:r w:rsidRPr="00CC1FCD">
          <w:rPr>
            <w:noProof w:val="0"/>
            <w:webHidden/>
          </w:rPr>
          <w:fldChar w:fldCharType="separate"/>
        </w:r>
        <w:r w:rsidRPr="00CC1FCD">
          <w:rPr>
            <w:noProof w:val="0"/>
            <w:webHidden/>
          </w:rPr>
          <w:t>15</w:t>
        </w:r>
        <w:r w:rsidRPr="00CC1FCD">
          <w:rPr>
            <w:noProof w:val="0"/>
            <w:webHidden/>
          </w:rPr>
          <w:fldChar w:fldCharType="end"/>
        </w:r>
      </w:hyperlink>
    </w:p>
    <w:p w14:paraId="00F4EC6F" w14:textId="6D857C5E"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3" w:history="1">
        <w:r w:rsidRPr="00CC1FCD">
          <w:rPr>
            <w:rStyle w:val="Hyperlink"/>
            <w:noProof w:val="0"/>
          </w:rPr>
          <w:t>XI.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10.02</w:t>
        </w:r>
        <w:r w:rsidRPr="00CC1FCD">
          <w:rPr>
            <w:noProof w:val="0"/>
            <w:webHidden/>
          </w:rPr>
          <w:tab/>
        </w:r>
        <w:r w:rsidRPr="00CC1FCD">
          <w:rPr>
            <w:noProof w:val="0"/>
            <w:webHidden/>
          </w:rPr>
          <w:fldChar w:fldCharType="begin"/>
        </w:r>
        <w:r w:rsidRPr="00CC1FCD">
          <w:rPr>
            <w:noProof w:val="0"/>
            <w:webHidden/>
          </w:rPr>
          <w:instrText xml:space="preserve"> PAGEREF _Toc184211453 \h </w:instrText>
        </w:r>
        <w:r w:rsidRPr="00CC1FCD">
          <w:rPr>
            <w:noProof w:val="0"/>
            <w:webHidden/>
          </w:rPr>
        </w:r>
        <w:r w:rsidRPr="00CC1FCD">
          <w:rPr>
            <w:noProof w:val="0"/>
            <w:webHidden/>
          </w:rPr>
          <w:fldChar w:fldCharType="separate"/>
        </w:r>
        <w:r w:rsidRPr="00CC1FCD">
          <w:rPr>
            <w:noProof w:val="0"/>
            <w:webHidden/>
          </w:rPr>
          <w:t>16</w:t>
        </w:r>
        <w:r w:rsidRPr="00CC1FCD">
          <w:rPr>
            <w:noProof w:val="0"/>
            <w:webHidden/>
          </w:rPr>
          <w:fldChar w:fldCharType="end"/>
        </w:r>
      </w:hyperlink>
    </w:p>
    <w:p w14:paraId="4F1F0B81" w14:textId="68BAD776"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4" w:history="1">
        <w:r w:rsidRPr="00CC1FCD">
          <w:rPr>
            <w:rStyle w:val="Hyperlink"/>
            <w:noProof w:val="0"/>
          </w:rPr>
          <w:t>XII.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10.02</w:t>
        </w:r>
        <w:r w:rsidRPr="00CC1FCD">
          <w:rPr>
            <w:noProof w:val="0"/>
            <w:webHidden/>
          </w:rPr>
          <w:tab/>
        </w:r>
        <w:r w:rsidRPr="00CC1FCD">
          <w:rPr>
            <w:noProof w:val="0"/>
            <w:webHidden/>
          </w:rPr>
          <w:fldChar w:fldCharType="begin"/>
        </w:r>
        <w:r w:rsidRPr="00CC1FCD">
          <w:rPr>
            <w:noProof w:val="0"/>
            <w:webHidden/>
          </w:rPr>
          <w:instrText xml:space="preserve"> PAGEREF _Toc184211454 \h </w:instrText>
        </w:r>
        <w:r w:rsidRPr="00CC1FCD">
          <w:rPr>
            <w:noProof w:val="0"/>
            <w:webHidden/>
          </w:rPr>
        </w:r>
        <w:r w:rsidRPr="00CC1FCD">
          <w:rPr>
            <w:noProof w:val="0"/>
            <w:webHidden/>
          </w:rPr>
          <w:fldChar w:fldCharType="separate"/>
        </w:r>
        <w:r w:rsidRPr="00CC1FCD">
          <w:rPr>
            <w:noProof w:val="0"/>
            <w:webHidden/>
          </w:rPr>
          <w:t>17</w:t>
        </w:r>
        <w:r w:rsidRPr="00CC1FCD">
          <w:rPr>
            <w:noProof w:val="0"/>
            <w:webHidden/>
          </w:rPr>
          <w:fldChar w:fldCharType="end"/>
        </w:r>
      </w:hyperlink>
    </w:p>
    <w:p w14:paraId="75094202" w14:textId="468E3247"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5" w:history="1">
        <w:r w:rsidRPr="00CC1FCD">
          <w:rPr>
            <w:rStyle w:val="Hyperlink"/>
            <w:noProof w:val="0"/>
          </w:rPr>
          <w:t>XIII.</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General remarks on Template S 10.03</w:t>
        </w:r>
        <w:r w:rsidRPr="00CC1FCD">
          <w:rPr>
            <w:noProof w:val="0"/>
            <w:webHidden/>
          </w:rPr>
          <w:tab/>
        </w:r>
        <w:r w:rsidRPr="00CC1FCD">
          <w:rPr>
            <w:noProof w:val="0"/>
            <w:webHidden/>
          </w:rPr>
          <w:fldChar w:fldCharType="begin"/>
        </w:r>
        <w:r w:rsidRPr="00CC1FCD">
          <w:rPr>
            <w:noProof w:val="0"/>
            <w:webHidden/>
          </w:rPr>
          <w:instrText xml:space="preserve"> PAGEREF _Toc184211455 \h </w:instrText>
        </w:r>
        <w:r w:rsidRPr="00CC1FCD">
          <w:rPr>
            <w:noProof w:val="0"/>
            <w:webHidden/>
          </w:rPr>
        </w:r>
        <w:r w:rsidRPr="00CC1FCD">
          <w:rPr>
            <w:noProof w:val="0"/>
            <w:webHidden/>
          </w:rPr>
          <w:fldChar w:fldCharType="separate"/>
        </w:r>
        <w:r w:rsidRPr="00CC1FCD">
          <w:rPr>
            <w:noProof w:val="0"/>
            <w:webHidden/>
          </w:rPr>
          <w:t>19</w:t>
        </w:r>
        <w:r w:rsidRPr="00CC1FCD">
          <w:rPr>
            <w:noProof w:val="0"/>
            <w:webHidden/>
          </w:rPr>
          <w:fldChar w:fldCharType="end"/>
        </w:r>
      </w:hyperlink>
    </w:p>
    <w:p w14:paraId="7F362C7A" w14:textId="6B41806D" w:rsidR="00837949" w:rsidRPr="00CC1FCD" w:rsidRDefault="00837949">
      <w:pPr>
        <w:pStyle w:val="TOC2"/>
        <w:rPr>
          <w:rFonts w:asciiTheme="minorHAnsi" w:eastAsiaTheme="minorEastAsia" w:hAnsiTheme="minorHAnsi" w:cstheme="minorBidi"/>
          <w:b w:val="0"/>
          <w:smallCaps w:val="0"/>
          <w:noProof w:val="0"/>
          <w:kern w:val="2"/>
          <w:sz w:val="24"/>
          <w:szCs w:val="24"/>
          <w:lang w:eastAsia="en-GB"/>
          <w14:ligatures w14:val="standardContextual"/>
        </w:rPr>
      </w:pPr>
      <w:hyperlink w:anchor="_Toc184211456" w:history="1">
        <w:r w:rsidRPr="00CC1FCD">
          <w:rPr>
            <w:rStyle w:val="Hyperlink"/>
            <w:noProof w:val="0"/>
          </w:rPr>
          <w:t>XIV.</w:t>
        </w:r>
        <w:r w:rsidRPr="00CC1FCD">
          <w:rPr>
            <w:rFonts w:asciiTheme="minorHAnsi" w:eastAsiaTheme="minorEastAsia" w:hAnsiTheme="minorHAnsi" w:cstheme="minorBidi"/>
            <w:b w:val="0"/>
            <w:smallCaps w:val="0"/>
            <w:noProof w:val="0"/>
            <w:kern w:val="2"/>
            <w:sz w:val="24"/>
            <w:szCs w:val="24"/>
            <w:lang w:eastAsia="en-GB"/>
            <w14:ligatures w14:val="standardContextual"/>
          </w:rPr>
          <w:tab/>
        </w:r>
        <w:r w:rsidRPr="00CC1FCD">
          <w:rPr>
            <w:rStyle w:val="Hyperlink"/>
            <w:noProof w:val="0"/>
          </w:rPr>
          <w:t>Instructions concerning specific positions of Template S 10.03</w:t>
        </w:r>
        <w:r w:rsidRPr="00CC1FCD">
          <w:rPr>
            <w:noProof w:val="0"/>
            <w:webHidden/>
          </w:rPr>
          <w:tab/>
        </w:r>
        <w:r w:rsidRPr="00CC1FCD">
          <w:rPr>
            <w:noProof w:val="0"/>
            <w:webHidden/>
          </w:rPr>
          <w:fldChar w:fldCharType="begin"/>
        </w:r>
        <w:r w:rsidRPr="00CC1FCD">
          <w:rPr>
            <w:noProof w:val="0"/>
            <w:webHidden/>
          </w:rPr>
          <w:instrText xml:space="preserve"> PAGEREF _Toc184211456 \h </w:instrText>
        </w:r>
        <w:r w:rsidRPr="00CC1FCD">
          <w:rPr>
            <w:noProof w:val="0"/>
            <w:webHidden/>
          </w:rPr>
        </w:r>
        <w:r w:rsidRPr="00CC1FCD">
          <w:rPr>
            <w:noProof w:val="0"/>
            <w:webHidden/>
          </w:rPr>
          <w:fldChar w:fldCharType="separate"/>
        </w:r>
        <w:r w:rsidRPr="00CC1FCD">
          <w:rPr>
            <w:noProof w:val="0"/>
            <w:webHidden/>
          </w:rPr>
          <w:t>19</w:t>
        </w:r>
        <w:r w:rsidRPr="00CC1FCD">
          <w:rPr>
            <w:noProof w:val="0"/>
            <w:webHidden/>
          </w:rPr>
          <w:fldChar w:fldCharType="end"/>
        </w:r>
      </w:hyperlink>
    </w:p>
    <w:p w14:paraId="4EF6FF82" w14:textId="5C5537EF" w:rsidR="00163E6F" w:rsidRPr="00CC1FCD" w:rsidRDefault="00163E6F" w:rsidP="00F4385C">
      <w:pPr>
        <w:pStyle w:val="TOC2"/>
        <w:tabs>
          <w:tab w:val="clear" w:pos="9071"/>
          <w:tab w:val="right" w:leader="dot" w:pos="9060"/>
        </w:tabs>
        <w:rPr>
          <w:rFonts w:asciiTheme="minorHAnsi" w:eastAsiaTheme="minorEastAsia" w:hAnsiTheme="minorHAnsi" w:cstheme="minorBidi"/>
          <w:noProof w:val="0"/>
          <w:kern w:val="2"/>
          <w:sz w:val="22"/>
          <w:lang w:eastAsia="en-GB"/>
          <w14:ligatures w14:val="standardContextual"/>
        </w:rPr>
      </w:pPr>
      <w:r w:rsidRPr="00CC1FCD">
        <w:rPr>
          <w:noProof w:val="0"/>
        </w:rPr>
        <w:fldChar w:fldCharType="end"/>
      </w:r>
    </w:p>
    <w:p w14:paraId="74B50553" w14:textId="77777777" w:rsidR="00163E6F" w:rsidRPr="00CC1FCD" w:rsidRDefault="00163E6F" w:rsidP="00163E6F">
      <w:pPr>
        <w:rPr>
          <w:rFonts w:ascii="Times New Roman" w:hAnsi="Times New Roman"/>
          <w:sz w:val="24"/>
        </w:rPr>
        <w:sectPr w:rsidR="00163E6F" w:rsidRPr="00CC1FCD" w:rsidSect="00AB48DB">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5F9A3EF5" w14:textId="77777777" w:rsidR="00163E6F" w:rsidRPr="00CC1FCD" w:rsidRDefault="00163E6F" w:rsidP="00E91F4B">
      <w:pPr>
        <w:pStyle w:val="Heading2"/>
      </w:pPr>
      <w:bookmarkStart w:id="2" w:name="_Toc264038394"/>
      <w:bookmarkStart w:id="3" w:name="_Toc360188317"/>
      <w:bookmarkStart w:id="4" w:name="_Toc473560865"/>
      <w:bookmarkStart w:id="5" w:name="_Toc181699777"/>
      <w:bookmarkStart w:id="6" w:name="_Toc184211439"/>
      <w:r w:rsidRPr="00CC1FCD">
        <w:lastRenderedPageBreak/>
        <w:t>PART I:</w:t>
      </w:r>
      <w:bookmarkEnd w:id="2"/>
      <w:r w:rsidRPr="00CC1FCD">
        <w:t xml:space="preserve"> GENERAL INSTRUCTIONS</w:t>
      </w:r>
      <w:bookmarkEnd w:id="3"/>
      <w:bookmarkEnd w:id="4"/>
      <w:bookmarkEnd w:id="5"/>
      <w:bookmarkEnd w:id="6"/>
    </w:p>
    <w:p w14:paraId="3B6E15F2" w14:textId="77777777" w:rsidR="00163E6F" w:rsidRPr="00CC1FCD" w:rsidRDefault="00163E6F" w:rsidP="00E91F4B">
      <w:pPr>
        <w:pStyle w:val="Instructionsberschrift2"/>
        <w:numPr>
          <w:ilvl w:val="0"/>
          <w:numId w:val="13"/>
        </w:numPr>
        <w:rPr>
          <w:sz w:val="22"/>
          <w:szCs w:val="22"/>
        </w:rPr>
      </w:pPr>
      <w:bookmarkStart w:id="7" w:name="_Toc360188319"/>
      <w:bookmarkStart w:id="8" w:name="_Toc473560867"/>
      <w:bookmarkStart w:id="9" w:name="_Toc181699778"/>
      <w:bookmarkStart w:id="10" w:name="_Toc184211440"/>
      <w:r w:rsidRPr="00CC1FCD">
        <w:rPr>
          <w:sz w:val="22"/>
          <w:szCs w:val="22"/>
        </w:rPr>
        <w:t>Structure</w:t>
      </w:r>
      <w:bookmarkEnd w:id="7"/>
      <w:bookmarkEnd w:id="8"/>
      <w:bookmarkEnd w:id="9"/>
      <w:bookmarkEnd w:id="10"/>
    </w:p>
    <w:p w14:paraId="094CAFB2" w14:textId="3A2079E8" w:rsidR="00163E6F" w:rsidRPr="00CC1FCD" w:rsidRDefault="00163E6F" w:rsidP="00C76F31">
      <w:pPr>
        <w:pStyle w:val="InstructionsText2"/>
        <w:rPr>
          <w:lang w:val="en-GB"/>
        </w:rPr>
      </w:pPr>
      <w:r w:rsidRPr="00CC1FCD">
        <w:rPr>
          <w:lang w:val="en-GB"/>
        </w:rPr>
        <w:t xml:space="preserve">This </w:t>
      </w:r>
      <w:r w:rsidR="00CC1FCD">
        <w:rPr>
          <w:lang w:val="en-GB"/>
        </w:rPr>
        <w:t>A</w:t>
      </w:r>
      <w:r w:rsidRPr="00CC1FCD">
        <w:rPr>
          <w:lang w:val="en-GB"/>
        </w:rPr>
        <w:t>nnex contains the instructions for the reporting of the templates for issuers.</w:t>
      </w:r>
    </w:p>
    <w:p w14:paraId="5DFCFDC7" w14:textId="3CEBDB50" w:rsidR="00163E6F" w:rsidRPr="00CC1FCD" w:rsidRDefault="00727681" w:rsidP="00C76F31">
      <w:pPr>
        <w:pStyle w:val="InstructionsText2"/>
        <w:rPr>
          <w:lang w:val="en-GB"/>
        </w:rPr>
      </w:pPr>
      <w:r w:rsidRPr="00CC1FCD">
        <w:rPr>
          <w:lang w:val="en-GB"/>
        </w:rPr>
        <w:t xml:space="preserve">This </w:t>
      </w:r>
      <w:r w:rsidR="00163E6F" w:rsidRPr="00CC1FCD">
        <w:rPr>
          <w:lang w:val="en-GB"/>
        </w:rPr>
        <w:t xml:space="preserve">Annex </w:t>
      </w:r>
      <w:r w:rsidR="00F8718C" w:rsidRPr="00CC1FCD">
        <w:rPr>
          <w:lang w:val="en-GB"/>
        </w:rPr>
        <w:t>refers to</w:t>
      </w:r>
      <w:r w:rsidR="00E81D4C" w:rsidRPr="00CC1FCD">
        <w:rPr>
          <w:lang w:val="en-GB"/>
        </w:rPr>
        <w:t xml:space="preserve"> </w:t>
      </w:r>
      <w:r w:rsidR="00163E6F" w:rsidRPr="00CC1FCD">
        <w:rPr>
          <w:lang w:val="en-GB"/>
        </w:rPr>
        <w:t>the following different sets of templates:</w:t>
      </w:r>
    </w:p>
    <w:p w14:paraId="32489A0C" w14:textId="0AF19273" w:rsidR="00163E6F" w:rsidRPr="00CC1FCD" w:rsidRDefault="00CC1FCD" w:rsidP="00C76F31">
      <w:pPr>
        <w:pStyle w:val="InstructionsText2"/>
        <w:numPr>
          <w:ilvl w:val="1"/>
          <w:numId w:val="15"/>
        </w:numPr>
        <w:rPr>
          <w:lang w:val="en-GB"/>
        </w:rPr>
      </w:pPr>
      <w:r>
        <w:rPr>
          <w:lang w:val="en-GB"/>
        </w:rPr>
        <w:t>o</w:t>
      </w:r>
      <w:r w:rsidR="00163E6F" w:rsidRPr="00CC1FCD">
        <w:rPr>
          <w:lang w:val="en-GB"/>
        </w:rPr>
        <w:t>wn funds (</w:t>
      </w:r>
      <w:r w:rsidR="006E23CE" w:rsidRPr="00CC1FCD">
        <w:rPr>
          <w:lang w:val="en-GB"/>
        </w:rPr>
        <w:t>S 09.01</w:t>
      </w:r>
      <w:r w:rsidR="00C14C16" w:rsidRPr="00CC1FCD">
        <w:rPr>
          <w:lang w:val="en-GB"/>
        </w:rPr>
        <w:t xml:space="preserve"> and </w:t>
      </w:r>
      <w:r w:rsidR="006E23CE" w:rsidRPr="00CC1FCD">
        <w:rPr>
          <w:lang w:val="en-GB"/>
        </w:rPr>
        <w:t>S 09.02</w:t>
      </w:r>
      <w:proofErr w:type="gramStart"/>
      <w:r w:rsidR="00163E6F" w:rsidRPr="00CC1FCD">
        <w:rPr>
          <w:lang w:val="en-GB"/>
        </w:rPr>
        <w:t>)</w:t>
      </w:r>
      <w:r>
        <w:rPr>
          <w:lang w:val="en-GB"/>
        </w:rPr>
        <w:t>;</w:t>
      </w:r>
      <w:proofErr w:type="gramEnd"/>
    </w:p>
    <w:p w14:paraId="264A9CB2" w14:textId="708BFF18" w:rsidR="00163E6F" w:rsidRPr="00CC1FCD" w:rsidRDefault="00CC1FCD" w:rsidP="00C76F31">
      <w:pPr>
        <w:pStyle w:val="InstructionsText2"/>
        <w:numPr>
          <w:ilvl w:val="1"/>
          <w:numId w:val="15"/>
        </w:numPr>
        <w:rPr>
          <w:lang w:val="en-GB"/>
        </w:rPr>
      </w:pPr>
      <w:r>
        <w:rPr>
          <w:lang w:val="en-GB"/>
        </w:rPr>
        <w:t>m</w:t>
      </w:r>
      <w:r w:rsidR="00163E6F" w:rsidRPr="00CC1FCD">
        <w:rPr>
          <w:lang w:val="en-GB"/>
        </w:rPr>
        <w:t>aturity ladder for the composition of the reserve of assets (</w:t>
      </w:r>
      <w:r w:rsidR="006E23CE" w:rsidRPr="00CC1FCD">
        <w:rPr>
          <w:lang w:val="en-GB"/>
        </w:rPr>
        <w:t>S 03.03</w:t>
      </w:r>
      <w:proofErr w:type="gramStart"/>
      <w:r w:rsidR="00163E6F" w:rsidRPr="00CC1FCD">
        <w:rPr>
          <w:lang w:val="en-GB"/>
        </w:rPr>
        <w:t>)</w:t>
      </w:r>
      <w:r>
        <w:rPr>
          <w:lang w:val="en-GB"/>
        </w:rPr>
        <w:t>;</w:t>
      </w:r>
      <w:proofErr w:type="gramEnd"/>
    </w:p>
    <w:p w14:paraId="5E51855B" w14:textId="45C63A33" w:rsidR="00163E6F" w:rsidRPr="00CC1FCD" w:rsidRDefault="00CC1FCD" w:rsidP="00C76F31">
      <w:pPr>
        <w:pStyle w:val="InstructionsText2"/>
        <w:numPr>
          <w:ilvl w:val="1"/>
          <w:numId w:val="15"/>
        </w:numPr>
        <w:rPr>
          <w:lang w:val="en-GB"/>
        </w:rPr>
      </w:pPr>
      <w:r>
        <w:rPr>
          <w:lang w:val="en-GB"/>
        </w:rPr>
        <w:t>a</w:t>
      </w:r>
      <w:r w:rsidR="00163E6F" w:rsidRPr="00CC1FCD">
        <w:rPr>
          <w:lang w:val="en-GB"/>
        </w:rPr>
        <w:t>dditional information for significance assessment (</w:t>
      </w:r>
      <w:r w:rsidR="006E23CE" w:rsidRPr="00CC1FCD">
        <w:rPr>
          <w:lang w:val="en-GB"/>
        </w:rPr>
        <w:t>S 10.01</w:t>
      </w:r>
      <w:r w:rsidR="00C14C16" w:rsidRPr="00CC1FCD">
        <w:rPr>
          <w:lang w:val="en-GB"/>
        </w:rPr>
        <w:t xml:space="preserve">, </w:t>
      </w:r>
      <w:r w:rsidR="006E23CE" w:rsidRPr="00CC1FCD">
        <w:rPr>
          <w:lang w:val="en-GB"/>
        </w:rPr>
        <w:t>S 10.02</w:t>
      </w:r>
      <w:r w:rsidR="00163E6F" w:rsidRPr="00CC1FCD">
        <w:rPr>
          <w:lang w:val="en-GB"/>
        </w:rPr>
        <w:t xml:space="preserve"> and </w:t>
      </w:r>
      <w:r w:rsidR="006E23CE" w:rsidRPr="00CC1FCD">
        <w:rPr>
          <w:lang w:val="en-GB"/>
        </w:rPr>
        <w:t>S 10.03</w:t>
      </w:r>
      <w:r w:rsidR="00163E6F" w:rsidRPr="00CC1FCD">
        <w:rPr>
          <w:lang w:val="en-GB"/>
        </w:rPr>
        <w:t>)</w:t>
      </w:r>
      <w:r>
        <w:rPr>
          <w:lang w:val="en-GB"/>
        </w:rPr>
        <w:t>.</w:t>
      </w:r>
    </w:p>
    <w:p w14:paraId="7875D8C2" w14:textId="77777777" w:rsidR="00163E6F" w:rsidRPr="00CC1FCD" w:rsidRDefault="00163E6F" w:rsidP="00C76F31">
      <w:pPr>
        <w:pStyle w:val="InstructionsText2"/>
        <w:rPr>
          <w:lang w:val="en-GB"/>
        </w:rPr>
      </w:pPr>
      <w:bookmarkStart w:id="11" w:name="_Toc360188320"/>
      <w:bookmarkStart w:id="12" w:name="_Toc473560868"/>
      <w:r w:rsidRPr="00CC1FCD">
        <w:rPr>
          <w:lang w:val="en-GB"/>
        </w:rPr>
        <w:t>For each template, where applicable, legal references are provided. Further detailed information regarding more general aspects of the reporting of each block of templates and instructions concerning specific positions are included in this Annex.</w:t>
      </w:r>
    </w:p>
    <w:p w14:paraId="5C098F79" w14:textId="77777777" w:rsidR="00163E6F" w:rsidRPr="00CC1FCD" w:rsidRDefault="00163E6F" w:rsidP="00C76F31">
      <w:pPr>
        <w:pStyle w:val="InstructionsText2"/>
        <w:rPr>
          <w:lang w:val="en-GB"/>
        </w:rPr>
      </w:pPr>
      <w:bookmarkStart w:id="13" w:name="_Ref125114499"/>
      <w:r w:rsidRPr="00CC1FCD">
        <w:rPr>
          <w:lang w:val="en-GB"/>
        </w:rPr>
        <w:t>The following general notation is followed in the instructions: {Template; Row; Column; z-axis}.</w:t>
      </w:r>
      <w:bookmarkEnd w:id="13"/>
      <w:r w:rsidRPr="00CC1FCD">
        <w:rPr>
          <w:lang w:val="en-GB"/>
        </w:rPr>
        <w:t xml:space="preserve"> In the case of templates with only one column, only rows are referred to {Template; Row}, with z-axis where applicable.</w:t>
      </w:r>
    </w:p>
    <w:p w14:paraId="75D1FEAE" w14:textId="31F77C94" w:rsidR="00163E6F" w:rsidRPr="00CC1FCD" w:rsidRDefault="00163E6F" w:rsidP="00C76F31">
      <w:pPr>
        <w:pStyle w:val="InstructionsText2"/>
        <w:rPr>
          <w:lang w:val="en-GB"/>
        </w:rPr>
      </w:pPr>
      <w:r w:rsidRPr="00CC1FCD">
        <w:rPr>
          <w:lang w:val="en-GB"/>
        </w:rPr>
        <w:t xml:space="preserve">For those templates where applicable, issuers </w:t>
      </w:r>
      <w:r w:rsidR="00B2383B" w:rsidRPr="00CC1FCD">
        <w:rPr>
          <w:lang w:val="en-GB"/>
        </w:rPr>
        <w:t>should</w:t>
      </w:r>
      <w:r w:rsidRPr="00CC1FCD">
        <w:rPr>
          <w:lang w:val="en-GB"/>
        </w:rPr>
        <w:t xml:space="preserve"> use the information shared by the crypto-asset service providers.</w:t>
      </w:r>
    </w:p>
    <w:p w14:paraId="14243E5E" w14:textId="77777777" w:rsidR="00163E6F" w:rsidRPr="00CC1FCD" w:rsidRDefault="00163E6F" w:rsidP="00E91F4B">
      <w:pPr>
        <w:pStyle w:val="Instructionsberschrift2"/>
        <w:numPr>
          <w:ilvl w:val="0"/>
          <w:numId w:val="13"/>
        </w:numPr>
        <w:rPr>
          <w:sz w:val="22"/>
          <w:szCs w:val="22"/>
        </w:rPr>
      </w:pPr>
      <w:bookmarkStart w:id="14" w:name="_Toc181699779"/>
      <w:bookmarkStart w:id="15" w:name="_Toc184211441"/>
      <w:r w:rsidRPr="00CC1FCD">
        <w:rPr>
          <w:sz w:val="22"/>
          <w:szCs w:val="22"/>
        </w:rPr>
        <w:t>Scope of reporting</w:t>
      </w:r>
      <w:bookmarkEnd w:id="14"/>
      <w:bookmarkEnd w:id="15"/>
    </w:p>
    <w:p w14:paraId="4D795804" w14:textId="0A9F1B5E" w:rsidR="00163E6F" w:rsidRPr="00CC1FCD" w:rsidRDefault="00163E6F" w:rsidP="00C76F31">
      <w:pPr>
        <w:pStyle w:val="InstructionsText2"/>
        <w:rPr>
          <w:lang w:val="en-GB"/>
        </w:rPr>
      </w:pPr>
      <w:r w:rsidRPr="00CC1FCD">
        <w:rPr>
          <w:lang w:val="en-GB"/>
        </w:rPr>
        <w:t>Those asset-referenced token and e-money token issuers under the scope of Regulation (EU) 2023/1114</w:t>
      </w:r>
      <w:r w:rsidR="00470B12" w:rsidRPr="00CC1FCD">
        <w:rPr>
          <w:rStyle w:val="FootnoteReference"/>
          <w:b/>
          <w:bCs w:val="0"/>
          <w:lang w:val="en-GB"/>
        </w:rPr>
        <w:footnoteReference w:id="2"/>
      </w:r>
      <w:r w:rsidRPr="00CC1FCD">
        <w:rPr>
          <w:lang w:val="en-GB"/>
        </w:rPr>
        <w:t xml:space="preserve">. </w:t>
      </w:r>
    </w:p>
    <w:p w14:paraId="43327050" w14:textId="3109D5AA" w:rsidR="00163E6F" w:rsidRPr="00CC1FCD" w:rsidRDefault="00163E6F" w:rsidP="00C76F31">
      <w:pPr>
        <w:pStyle w:val="InstructionsText2"/>
        <w:rPr>
          <w:lang w:val="en-GB"/>
        </w:rPr>
      </w:pPr>
      <w:r w:rsidRPr="00CC1FCD">
        <w:rPr>
          <w:lang w:val="en-GB"/>
        </w:rPr>
        <w:t xml:space="preserve">Issuers </w:t>
      </w:r>
      <w:r w:rsidR="00B2383B" w:rsidRPr="00CC1FCD">
        <w:rPr>
          <w:lang w:val="en-GB"/>
        </w:rPr>
        <w:t>should</w:t>
      </w:r>
      <w:r w:rsidRPr="00CC1FCD">
        <w:rPr>
          <w:lang w:val="en-GB"/>
        </w:rPr>
        <w:t xml:space="preserve"> report the applicable sets of templates in this </w:t>
      </w:r>
      <w:r w:rsidR="00CC1FCD">
        <w:rPr>
          <w:lang w:val="en-GB"/>
        </w:rPr>
        <w:t>A</w:t>
      </w:r>
      <w:r w:rsidRPr="00CC1FCD">
        <w:rPr>
          <w:lang w:val="en-GB"/>
        </w:rPr>
        <w:t>nnex separately for each asset-referenced token or e-money token subject to the reporting obligations.</w:t>
      </w:r>
      <w:bookmarkStart w:id="16" w:name="_Toc360188322"/>
      <w:bookmarkStart w:id="17" w:name="_Toc473560870"/>
      <w:bookmarkEnd w:id="11"/>
      <w:bookmarkEnd w:id="12"/>
    </w:p>
    <w:p w14:paraId="010B8542" w14:textId="61569B6B" w:rsidR="00163E6F" w:rsidRPr="00CC1FCD" w:rsidRDefault="00163E6F" w:rsidP="00C76F31">
      <w:pPr>
        <w:pStyle w:val="InstructionsText2"/>
        <w:rPr>
          <w:lang w:val="en-GB"/>
        </w:rPr>
      </w:pPr>
      <w:r w:rsidRPr="00CC1FCD">
        <w:rPr>
          <w:lang w:val="en-GB"/>
        </w:rPr>
        <w:t xml:space="preserve">Issuers </w:t>
      </w:r>
      <w:r w:rsidR="00B2383B" w:rsidRPr="00CC1FCD">
        <w:rPr>
          <w:lang w:val="en-GB"/>
        </w:rPr>
        <w:t>should</w:t>
      </w:r>
      <w:r w:rsidRPr="00CC1FCD">
        <w:rPr>
          <w:lang w:val="en-GB"/>
        </w:rPr>
        <w:t xml:space="preserve"> accompany the submitted data </w:t>
      </w:r>
      <w:r w:rsidR="00CC1FCD">
        <w:rPr>
          <w:lang w:val="en-GB"/>
        </w:rPr>
        <w:t>with</w:t>
      </w:r>
      <w:r w:rsidRPr="00CC1FCD">
        <w:rPr>
          <w:lang w:val="en-GB"/>
        </w:rPr>
        <w:t xml:space="preserve"> the following information:</w:t>
      </w:r>
    </w:p>
    <w:p w14:paraId="3203E070" w14:textId="77777777" w:rsidR="00163E6F" w:rsidRPr="00CC1FCD" w:rsidRDefault="00163E6F" w:rsidP="00974FC4">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t xml:space="preserve">reporting reference date and reference </w:t>
      </w:r>
      <w:proofErr w:type="gramStart"/>
      <w:r w:rsidRPr="00CC1FCD">
        <w:rPr>
          <w:rFonts w:ascii="Times New Roman" w:eastAsia="Calibri" w:hAnsi="Times New Roman"/>
          <w:sz w:val="22"/>
          <w:szCs w:val="22"/>
        </w:rPr>
        <w:t>period;</w:t>
      </w:r>
      <w:proofErr w:type="gramEnd"/>
    </w:p>
    <w:p w14:paraId="59C5E9A6" w14:textId="77777777" w:rsidR="00163E6F" w:rsidRPr="00CC1FCD" w:rsidRDefault="00163E6F" w:rsidP="00974FC4">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t xml:space="preserve">reporting </w:t>
      </w:r>
      <w:proofErr w:type="gramStart"/>
      <w:r w:rsidRPr="00CC1FCD">
        <w:rPr>
          <w:rFonts w:ascii="Times New Roman" w:eastAsia="Calibri" w:hAnsi="Times New Roman"/>
          <w:sz w:val="22"/>
          <w:szCs w:val="22"/>
        </w:rPr>
        <w:t>currency;</w:t>
      </w:r>
      <w:proofErr w:type="gramEnd"/>
    </w:p>
    <w:p w14:paraId="18A17D28" w14:textId="2BE80676" w:rsidR="00163E6F" w:rsidRPr="00CC1FCD" w:rsidRDefault="00163E6F" w:rsidP="00974FC4">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t xml:space="preserve">for legal entities, the issuer`s </w:t>
      </w:r>
      <w:r w:rsidR="008B1C28">
        <w:rPr>
          <w:rFonts w:ascii="Times New Roman" w:eastAsia="Calibri" w:hAnsi="Times New Roman"/>
          <w:sz w:val="22"/>
          <w:szCs w:val="22"/>
        </w:rPr>
        <w:t>l</w:t>
      </w:r>
      <w:r w:rsidRPr="00CC1FCD">
        <w:rPr>
          <w:rFonts w:ascii="Times New Roman" w:eastAsia="Calibri" w:hAnsi="Times New Roman"/>
          <w:sz w:val="22"/>
          <w:szCs w:val="22"/>
        </w:rPr>
        <w:t xml:space="preserve">egal </w:t>
      </w:r>
      <w:r w:rsidR="008B1C28">
        <w:rPr>
          <w:rFonts w:ascii="Times New Roman" w:eastAsia="Calibri" w:hAnsi="Times New Roman"/>
          <w:sz w:val="22"/>
          <w:szCs w:val="22"/>
        </w:rPr>
        <w:t>e</w:t>
      </w:r>
      <w:r w:rsidRPr="00CC1FCD">
        <w:rPr>
          <w:rFonts w:ascii="Times New Roman" w:eastAsia="Calibri" w:hAnsi="Times New Roman"/>
          <w:sz w:val="22"/>
          <w:szCs w:val="22"/>
        </w:rPr>
        <w:t xml:space="preserve">ntity </w:t>
      </w:r>
      <w:r w:rsidR="008B1C28">
        <w:rPr>
          <w:rFonts w:ascii="Times New Roman" w:eastAsia="Calibri" w:hAnsi="Times New Roman"/>
          <w:sz w:val="22"/>
          <w:szCs w:val="22"/>
        </w:rPr>
        <w:t>i</w:t>
      </w:r>
      <w:r w:rsidRPr="00CC1FCD">
        <w:rPr>
          <w:rFonts w:ascii="Times New Roman" w:eastAsia="Calibri" w:hAnsi="Times New Roman"/>
          <w:sz w:val="22"/>
          <w:szCs w:val="22"/>
        </w:rPr>
        <w:t>dentifier (LEI), and for natural persons</w:t>
      </w:r>
      <w:r w:rsidR="00CC1FCD">
        <w:rPr>
          <w:rFonts w:ascii="Times New Roman" w:eastAsia="Calibri" w:hAnsi="Times New Roman"/>
          <w:sz w:val="22"/>
          <w:szCs w:val="22"/>
        </w:rPr>
        <w:t>,</w:t>
      </w:r>
      <w:r w:rsidRPr="00CC1FCD">
        <w:rPr>
          <w:rFonts w:ascii="Times New Roman" w:eastAsia="Calibri" w:hAnsi="Times New Roman"/>
          <w:sz w:val="22"/>
          <w:szCs w:val="22"/>
        </w:rPr>
        <w:t xml:space="preserve"> the official national identification number applicable in the home Member </w:t>
      </w:r>
      <w:proofErr w:type="gramStart"/>
      <w:r w:rsidRPr="00CC1FCD">
        <w:rPr>
          <w:rFonts w:ascii="Times New Roman" w:eastAsia="Calibri" w:hAnsi="Times New Roman"/>
          <w:sz w:val="22"/>
          <w:szCs w:val="22"/>
        </w:rPr>
        <w:t>State;</w:t>
      </w:r>
      <w:proofErr w:type="gramEnd"/>
    </w:p>
    <w:p w14:paraId="064B1C49" w14:textId="7F4CA29F" w:rsidR="00163E6F" w:rsidRPr="00CC1FCD" w:rsidRDefault="00163E6F" w:rsidP="00974FC4">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t>type of the token, as defined in Article 3(1)</w:t>
      </w:r>
      <w:r w:rsidR="00CC1FCD">
        <w:rPr>
          <w:rFonts w:ascii="Times New Roman" w:eastAsia="Calibri" w:hAnsi="Times New Roman"/>
          <w:sz w:val="22"/>
          <w:szCs w:val="22"/>
        </w:rPr>
        <w:t>,</w:t>
      </w:r>
      <w:r w:rsidRPr="00CC1FCD">
        <w:rPr>
          <w:rFonts w:ascii="Times New Roman" w:eastAsia="Calibri" w:hAnsi="Times New Roman"/>
          <w:sz w:val="22"/>
          <w:szCs w:val="22"/>
        </w:rPr>
        <w:t xml:space="preserve"> points (6) and (7)</w:t>
      </w:r>
      <w:r w:rsidR="00CC1FCD">
        <w:rPr>
          <w:rFonts w:ascii="Times New Roman" w:eastAsia="Calibri" w:hAnsi="Times New Roman"/>
          <w:sz w:val="22"/>
          <w:szCs w:val="22"/>
        </w:rPr>
        <w:t>,</w:t>
      </w:r>
      <w:r w:rsidRPr="00CC1FCD">
        <w:rPr>
          <w:rFonts w:ascii="Times New Roman" w:eastAsia="Calibri" w:hAnsi="Times New Roman"/>
          <w:sz w:val="22"/>
          <w:szCs w:val="22"/>
        </w:rPr>
        <w:t xml:space="preserve"> of Regulation (EU) 2023/1114, and related </w:t>
      </w:r>
      <w:r w:rsidR="00971304" w:rsidRPr="00CC1FCD">
        <w:rPr>
          <w:rFonts w:ascii="Times New Roman" w:eastAsia="Calibri" w:hAnsi="Times New Roman"/>
          <w:sz w:val="22"/>
          <w:szCs w:val="22"/>
        </w:rPr>
        <w:t xml:space="preserve">identification code, </w:t>
      </w:r>
      <w:r w:rsidRPr="00CC1FCD">
        <w:rPr>
          <w:rFonts w:ascii="Times New Roman" w:eastAsia="Calibri" w:hAnsi="Times New Roman"/>
          <w:sz w:val="22"/>
          <w:szCs w:val="22"/>
        </w:rPr>
        <w:t>reference or name of the token</w:t>
      </w:r>
      <w:r w:rsidR="00971304" w:rsidRPr="00CC1FCD">
        <w:rPr>
          <w:rFonts w:ascii="Times New Roman" w:eastAsia="Calibri" w:hAnsi="Times New Roman"/>
          <w:sz w:val="22"/>
          <w:szCs w:val="22"/>
        </w:rPr>
        <w:t xml:space="preserve">, where available </w:t>
      </w:r>
      <w:r w:rsidR="00971304" w:rsidRPr="00CC1FCD">
        <w:rPr>
          <w:rStyle w:val="FormatvorlageInstructionsTabelleText"/>
          <w:rFonts w:ascii="Times New Roman" w:hAnsi="Times New Roman"/>
          <w:sz w:val="22"/>
          <w:szCs w:val="22"/>
        </w:rPr>
        <w:t xml:space="preserve">based on the published </w:t>
      </w:r>
      <w:r w:rsidR="00CC1FCD">
        <w:rPr>
          <w:rStyle w:val="FormatvorlageInstructionsTabelleText"/>
          <w:rFonts w:ascii="Times New Roman" w:hAnsi="Times New Roman"/>
          <w:sz w:val="22"/>
          <w:szCs w:val="22"/>
        </w:rPr>
        <w:t>w</w:t>
      </w:r>
      <w:r w:rsidR="00971304" w:rsidRPr="00CC1FCD">
        <w:rPr>
          <w:rStyle w:val="FormatvorlageInstructionsTabelleText"/>
          <w:rFonts w:ascii="Times New Roman" w:hAnsi="Times New Roman"/>
          <w:sz w:val="22"/>
          <w:szCs w:val="22"/>
        </w:rPr>
        <w:t>hite paper of the token in accordance with Article 6 of Regulation (EU) 2023/1114,</w:t>
      </w:r>
      <w:r w:rsidRPr="00CC1FCD">
        <w:rPr>
          <w:rFonts w:ascii="Times New Roman" w:eastAsia="Calibri" w:hAnsi="Times New Roman"/>
          <w:sz w:val="22"/>
          <w:szCs w:val="22"/>
        </w:rPr>
        <w:t xml:space="preserve"> that is the subject of the submitted </w:t>
      </w:r>
      <w:proofErr w:type="gramStart"/>
      <w:r w:rsidRPr="00CC1FCD">
        <w:rPr>
          <w:rFonts w:ascii="Times New Roman" w:eastAsia="Calibri" w:hAnsi="Times New Roman"/>
          <w:sz w:val="22"/>
          <w:szCs w:val="22"/>
        </w:rPr>
        <w:t>reports;</w:t>
      </w:r>
      <w:proofErr w:type="gramEnd"/>
    </w:p>
    <w:p w14:paraId="4CE24887" w14:textId="5447C770" w:rsidR="00422E0A" w:rsidRPr="00CC1FCD" w:rsidRDefault="00422E0A" w:rsidP="00422E0A">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lastRenderedPageBreak/>
        <w:t xml:space="preserve">whether the token references only official currencies; references only other than official currencies; or references </w:t>
      </w:r>
      <w:r w:rsidRPr="00CC1FCD">
        <w:rPr>
          <w:rFonts w:ascii="Times New Roman" w:hAnsi="Times New Roman"/>
          <w:sz w:val="22"/>
          <w:szCs w:val="22"/>
        </w:rPr>
        <w:t>both official currencies and other than official currencies (</w:t>
      </w:r>
      <w:r w:rsidRPr="00CC1FCD">
        <w:rPr>
          <w:rFonts w:ascii="Times New Roman" w:eastAsia="Calibri" w:hAnsi="Times New Roman"/>
          <w:sz w:val="22"/>
          <w:szCs w:val="22"/>
        </w:rPr>
        <w:t>a mix of the previous two options</w:t>
      </w:r>
      <w:proofErr w:type="gramStart"/>
      <w:r w:rsidRPr="00CC1FCD">
        <w:rPr>
          <w:rFonts w:ascii="Times New Roman" w:eastAsia="Calibri" w:hAnsi="Times New Roman"/>
          <w:sz w:val="22"/>
          <w:szCs w:val="22"/>
        </w:rPr>
        <w:t>);</w:t>
      </w:r>
      <w:proofErr w:type="gramEnd"/>
    </w:p>
    <w:p w14:paraId="3B52FCA8" w14:textId="52721C23" w:rsidR="00422E0A" w:rsidRPr="00CC1FCD" w:rsidRDefault="00422E0A" w:rsidP="00974FC4">
      <w:pPr>
        <w:numPr>
          <w:ilvl w:val="0"/>
          <w:numId w:val="22"/>
        </w:numPr>
        <w:ind w:left="1434" w:hanging="357"/>
        <w:rPr>
          <w:rFonts w:ascii="Times New Roman" w:eastAsia="Calibri" w:hAnsi="Times New Roman"/>
          <w:sz w:val="22"/>
          <w:szCs w:val="22"/>
        </w:rPr>
      </w:pPr>
      <w:r w:rsidRPr="00CC1FCD">
        <w:rPr>
          <w:rFonts w:ascii="Times New Roman" w:eastAsia="Calibri" w:hAnsi="Times New Roman"/>
          <w:sz w:val="22"/>
          <w:szCs w:val="22"/>
        </w:rPr>
        <w:t xml:space="preserve">whether the token </w:t>
      </w:r>
      <w:r w:rsidR="00CC1FCD">
        <w:rPr>
          <w:rFonts w:ascii="Times New Roman" w:eastAsia="Calibri" w:hAnsi="Times New Roman"/>
          <w:sz w:val="22"/>
          <w:szCs w:val="22"/>
        </w:rPr>
        <w:t xml:space="preserve">is </w:t>
      </w:r>
      <w:r w:rsidRPr="00CC1FCD">
        <w:rPr>
          <w:rFonts w:ascii="Times New Roman" w:eastAsia="Calibri" w:hAnsi="Times New Roman"/>
          <w:sz w:val="22"/>
          <w:szCs w:val="22"/>
        </w:rPr>
        <w:t xml:space="preserve">classified as significant in accordance with Article 43 </w:t>
      </w:r>
      <w:r w:rsidR="002F4AA9" w:rsidRPr="00CC1FCD">
        <w:rPr>
          <w:rFonts w:ascii="Times New Roman" w:eastAsia="Calibri" w:hAnsi="Times New Roman"/>
          <w:sz w:val="22"/>
          <w:szCs w:val="22"/>
        </w:rPr>
        <w:t xml:space="preserve">or Article 56 </w:t>
      </w:r>
      <w:r w:rsidRPr="00CC1FCD">
        <w:rPr>
          <w:rFonts w:ascii="Times New Roman" w:eastAsia="Calibri" w:hAnsi="Times New Roman"/>
          <w:sz w:val="22"/>
          <w:szCs w:val="22"/>
        </w:rPr>
        <w:t xml:space="preserve">of Regulation (EU) </w:t>
      </w:r>
      <w:proofErr w:type="gramStart"/>
      <w:r w:rsidRPr="00CC1FCD">
        <w:rPr>
          <w:rFonts w:ascii="Times New Roman" w:eastAsia="Calibri" w:hAnsi="Times New Roman"/>
          <w:sz w:val="22"/>
          <w:szCs w:val="22"/>
        </w:rPr>
        <w:t>2023/1114;</w:t>
      </w:r>
      <w:proofErr w:type="gramEnd"/>
    </w:p>
    <w:p w14:paraId="0A88CB34" w14:textId="60BAFE89" w:rsidR="00163E6F" w:rsidRPr="00CC1FCD" w:rsidRDefault="00163E6F" w:rsidP="00974FC4">
      <w:pPr>
        <w:numPr>
          <w:ilvl w:val="0"/>
          <w:numId w:val="22"/>
        </w:numPr>
        <w:ind w:left="1434" w:hanging="357"/>
        <w:rPr>
          <w:rFonts w:asciiTheme="minorHAnsi" w:eastAsia="Calibri" w:hAnsiTheme="minorHAnsi" w:cstheme="minorHAnsi"/>
          <w:sz w:val="22"/>
          <w:szCs w:val="22"/>
        </w:rPr>
      </w:pPr>
      <w:r w:rsidRPr="00CC1FCD">
        <w:rPr>
          <w:rFonts w:ascii="Times New Roman" w:eastAsia="Calibri" w:hAnsi="Times New Roman"/>
          <w:sz w:val="22"/>
          <w:szCs w:val="22"/>
        </w:rPr>
        <w:t>that the issuer has not received the information specified in Annex III</w:t>
      </w:r>
      <w:r w:rsidR="00C94C2C" w:rsidRPr="00CC1FCD">
        <w:rPr>
          <w:rFonts w:ascii="Times New Roman" w:eastAsia="Calibri" w:hAnsi="Times New Roman"/>
          <w:sz w:val="22"/>
          <w:szCs w:val="22"/>
        </w:rPr>
        <w:t>, according to the instructions set out in Annex</w:t>
      </w:r>
      <w:r w:rsidRPr="00CC1FCD">
        <w:rPr>
          <w:rFonts w:ascii="Times New Roman" w:eastAsia="Calibri" w:hAnsi="Times New Roman"/>
          <w:sz w:val="22"/>
          <w:szCs w:val="22"/>
        </w:rPr>
        <w:t xml:space="preserve"> IV of these </w:t>
      </w:r>
      <w:r w:rsidR="00CC1FCD">
        <w:rPr>
          <w:rFonts w:ascii="Times New Roman" w:eastAsia="Calibri" w:hAnsi="Times New Roman"/>
          <w:sz w:val="22"/>
          <w:szCs w:val="22"/>
        </w:rPr>
        <w:t>G</w:t>
      </w:r>
      <w:r w:rsidRPr="00CC1FCD">
        <w:rPr>
          <w:rFonts w:ascii="Times New Roman" w:eastAsia="Calibri" w:hAnsi="Times New Roman"/>
          <w:sz w:val="22"/>
          <w:szCs w:val="22"/>
        </w:rPr>
        <w:t>uidelines</w:t>
      </w:r>
      <w:r w:rsidR="00CC1FCD">
        <w:rPr>
          <w:rFonts w:ascii="Times New Roman" w:eastAsia="Calibri" w:hAnsi="Times New Roman"/>
          <w:sz w:val="22"/>
          <w:szCs w:val="22"/>
        </w:rPr>
        <w:t>,</w:t>
      </w:r>
      <w:r w:rsidRPr="00CC1FCD">
        <w:rPr>
          <w:rFonts w:ascii="Times New Roman" w:eastAsia="Calibri" w:hAnsi="Times New Roman"/>
          <w:sz w:val="22"/>
          <w:szCs w:val="22"/>
        </w:rPr>
        <w:t xml:space="preserve"> from the crypto-asset service providers, where applicable.</w:t>
      </w:r>
      <w:r w:rsidRPr="00CC1FCD">
        <w:rPr>
          <w:rFonts w:asciiTheme="minorHAnsi" w:hAnsiTheme="minorHAnsi" w:cstheme="minorHAnsi"/>
          <w:sz w:val="22"/>
          <w:szCs w:val="22"/>
        </w:rPr>
        <w:br w:type="page"/>
      </w:r>
    </w:p>
    <w:p w14:paraId="0F341020" w14:textId="603F80FD" w:rsidR="00163E6F" w:rsidRPr="00CC1FCD" w:rsidRDefault="00163E6F" w:rsidP="00E91F4B">
      <w:pPr>
        <w:pStyle w:val="Heading2"/>
      </w:pPr>
      <w:bookmarkStart w:id="18" w:name="_Toc120119047"/>
      <w:bookmarkStart w:id="19" w:name="_Toc120185008"/>
      <w:bookmarkStart w:id="20" w:name="_Toc120119048"/>
      <w:bookmarkStart w:id="21" w:name="_Toc120185009"/>
      <w:bookmarkStart w:id="22" w:name="_Toc117022065"/>
      <w:bookmarkStart w:id="23" w:name="_Toc119940195"/>
      <w:bookmarkStart w:id="24" w:name="_Toc120119049"/>
      <w:bookmarkStart w:id="25" w:name="_Toc120185010"/>
      <w:bookmarkStart w:id="26" w:name="_Toc162339934"/>
      <w:bookmarkStart w:id="27" w:name="_Toc181699799"/>
      <w:bookmarkStart w:id="28" w:name="_Toc184211442"/>
      <w:bookmarkEnd w:id="0"/>
      <w:bookmarkEnd w:id="1"/>
      <w:bookmarkEnd w:id="16"/>
      <w:bookmarkEnd w:id="17"/>
      <w:bookmarkEnd w:id="18"/>
      <w:bookmarkEnd w:id="19"/>
      <w:bookmarkEnd w:id="20"/>
      <w:bookmarkEnd w:id="21"/>
      <w:bookmarkEnd w:id="22"/>
      <w:bookmarkEnd w:id="23"/>
      <w:bookmarkEnd w:id="24"/>
      <w:bookmarkEnd w:id="25"/>
      <w:r w:rsidRPr="00CC1FCD">
        <w:lastRenderedPageBreak/>
        <w:t xml:space="preserve">PART </w:t>
      </w:r>
      <w:r w:rsidR="00E97DD2" w:rsidRPr="00CC1FCD">
        <w:t>II</w:t>
      </w:r>
      <w:r w:rsidRPr="00CC1FCD">
        <w:t>: OWN FUNDS (</w:t>
      </w:r>
      <w:r w:rsidR="00DE2031" w:rsidRPr="00CC1FCD">
        <w:t>S 09.01</w:t>
      </w:r>
      <w:r w:rsidR="003C71A3" w:rsidRPr="00CC1FCD">
        <w:t xml:space="preserve"> and </w:t>
      </w:r>
      <w:r w:rsidR="00DE2031" w:rsidRPr="00CC1FCD">
        <w:t>S 09.02</w:t>
      </w:r>
      <w:r w:rsidRPr="00CC1FCD">
        <w:t>)</w:t>
      </w:r>
      <w:bookmarkEnd w:id="26"/>
      <w:bookmarkEnd w:id="27"/>
      <w:bookmarkEnd w:id="28"/>
    </w:p>
    <w:p w14:paraId="5B5B613B" w14:textId="4F19E473" w:rsidR="00163E6F" w:rsidRPr="00CC1FCD" w:rsidRDefault="00163E6F" w:rsidP="00E91F4B">
      <w:pPr>
        <w:pStyle w:val="Instructionsberschrift2"/>
        <w:numPr>
          <w:ilvl w:val="0"/>
          <w:numId w:val="13"/>
        </w:numPr>
        <w:rPr>
          <w:sz w:val="22"/>
          <w:szCs w:val="22"/>
        </w:rPr>
      </w:pPr>
      <w:bookmarkStart w:id="29" w:name="_Toc162339935"/>
      <w:bookmarkStart w:id="30" w:name="_Toc181699800"/>
      <w:bookmarkStart w:id="31" w:name="_Toc184211443"/>
      <w:r w:rsidRPr="00CC1FCD">
        <w:rPr>
          <w:sz w:val="22"/>
          <w:szCs w:val="22"/>
        </w:rPr>
        <w:t xml:space="preserve">General remarks on </w:t>
      </w:r>
      <w:r w:rsidR="00CC1FCD">
        <w:rPr>
          <w:sz w:val="22"/>
          <w:szCs w:val="22"/>
        </w:rPr>
        <w:t>t</w:t>
      </w:r>
      <w:r w:rsidRPr="00CC1FCD">
        <w:rPr>
          <w:sz w:val="22"/>
          <w:szCs w:val="22"/>
        </w:rPr>
        <w:t xml:space="preserve">emplate </w:t>
      </w:r>
      <w:bookmarkEnd w:id="29"/>
      <w:r w:rsidR="00DE2031" w:rsidRPr="00CC1FCD">
        <w:rPr>
          <w:sz w:val="22"/>
          <w:szCs w:val="22"/>
        </w:rPr>
        <w:t>S 09.01</w:t>
      </w:r>
      <w:bookmarkEnd w:id="30"/>
      <w:bookmarkEnd w:id="31"/>
    </w:p>
    <w:p w14:paraId="5BAE0AD2" w14:textId="4EE3786F" w:rsidR="00163E6F" w:rsidRPr="00CC1FCD" w:rsidRDefault="00163E6F" w:rsidP="00C76F31">
      <w:pPr>
        <w:pStyle w:val="InstructionsText2"/>
        <w:rPr>
          <w:lang w:val="en-GB"/>
        </w:rPr>
      </w:pPr>
      <w:r w:rsidRPr="00CC1FCD">
        <w:rPr>
          <w:lang w:val="en-GB"/>
        </w:rPr>
        <w:t xml:space="preserve">Template </w:t>
      </w:r>
      <w:r w:rsidR="00DE2031" w:rsidRPr="00CC1FCD">
        <w:rPr>
          <w:lang w:val="en-GB"/>
        </w:rPr>
        <w:t>S 09.01</w:t>
      </w:r>
      <w:r w:rsidRPr="00CC1FCD">
        <w:rPr>
          <w:lang w:val="en-GB"/>
        </w:rPr>
        <w:t xml:space="preserve">, </w:t>
      </w:r>
      <w:r w:rsidR="00F20585" w:rsidRPr="00CC1FCD">
        <w:rPr>
          <w:lang w:val="en-GB"/>
        </w:rPr>
        <w:t xml:space="preserve">where applicable </w:t>
      </w:r>
      <w:r w:rsidRPr="00CC1FCD">
        <w:rPr>
          <w:lang w:val="en-GB"/>
        </w:rPr>
        <w:t>in accordance with the requirements set out in Article</w:t>
      </w:r>
      <w:r w:rsidR="3DCE253C" w:rsidRPr="00CC1FCD">
        <w:rPr>
          <w:lang w:val="en-GB"/>
        </w:rPr>
        <w:t>s</w:t>
      </w:r>
      <w:r w:rsidRPr="00CC1FCD">
        <w:rPr>
          <w:lang w:val="en-GB"/>
        </w:rPr>
        <w:t xml:space="preserve"> 35</w:t>
      </w:r>
      <w:r w:rsidR="1CDFD3F7" w:rsidRPr="00CC1FCD">
        <w:rPr>
          <w:lang w:val="en-GB"/>
        </w:rPr>
        <w:t xml:space="preserve"> and 58</w:t>
      </w:r>
      <w:r w:rsidRPr="00CC1FCD">
        <w:rPr>
          <w:lang w:val="en-GB"/>
        </w:rPr>
        <w:t xml:space="preserve"> of Regulation (EU) 2023/1114, contains issuers` own</w:t>
      </w:r>
      <w:r w:rsidR="001F38A0">
        <w:rPr>
          <w:lang w:val="en-GB"/>
        </w:rPr>
        <w:t>-</w:t>
      </w:r>
      <w:r w:rsidRPr="00CC1FCD">
        <w:rPr>
          <w:lang w:val="en-GB"/>
        </w:rPr>
        <w:t>funds</w:t>
      </w:r>
      <w:r w:rsidR="001F38A0">
        <w:rPr>
          <w:lang w:val="en-GB"/>
        </w:rPr>
        <w:t>-</w:t>
      </w:r>
      <w:r w:rsidRPr="00CC1FCD">
        <w:rPr>
          <w:lang w:val="en-GB"/>
        </w:rPr>
        <w:t xml:space="preserve">related information on the token in scope of </w:t>
      </w:r>
      <w:r w:rsidR="66136088" w:rsidRPr="00CC1FCD">
        <w:rPr>
          <w:lang w:val="en-GB"/>
        </w:rPr>
        <w:t xml:space="preserve">the </w:t>
      </w:r>
      <w:r w:rsidRPr="00CC1FCD">
        <w:rPr>
          <w:lang w:val="en-GB"/>
        </w:rPr>
        <w:t>reporting.</w:t>
      </w:r>
      <w:r w:rsidR="00D74A68" w:rsidRPr="00CC1FCD">
        <w:rPr>
          <w:lang w:val="en-GB"/>
        </w:rPr>
        <w:t xml:space="preserve"> The issuers in scope of this template are issuers of asset-referenced tokens, electronic money institutions issuing significant e-money tokens and, where it </w:t>
      </w:r>
      <w:r w:rsidR="001F38A0">
        <w:rPr>
          <w:lang w:val="en-GB"/>
        </w:rPr>
        <w:t xml:space="preserve">is </w:t>
      </w:r>
      <w:r w:rsidR="00D74A68" w:rsidRPr="00CC1FCD">
        <w:rPr>
          <w:lang w:val="en-GB"/>
        </w:rPr>
        <w:t>required by the competent authority following Article 58(2) of Regulation (EU) 2023/1114, electronic money institutions issuing non-significant e-money tokens.</w:t>
      </w:r>
    </w:p>
    <w:p w14:paraId="3EE1F3D4" w14:textId="07901E95" w:rsidR="00163E6F" w:rsidRPr="00CC1FCD" w:rsidRDefault="00163E6F" w:rsidP="00E91F4B">
      <w:pPr>
        <w:pStyle w:val="Instructionsberschrift2"/>
        <w:numPr>
          <w:ilvl w:val="0"/>
          <w:numId w:val="13"/>
        </w:numPr>
        <w:rPr>
          <w:sz w:val="22"/>
          <w:szCs w:val="22"/>
        </w:rPr>
      </w:pPr>
      <w:bookmarkStart w:id="32" w:name="_Toc162339936"/>
      <w:bookmarkStart w:id="33" w:name="_Toc181699801"/>
      <w:bookmarkStart w:id="34" w:name="_Toc184211444"/>
      <w:r w:rsidRPr="00CC1FCD">
        <w:rPr>
          <w:sz w:val="22"/>
          <w:szCs w:val="22"/>
        </w:rPr>
        <w:t xml:space="preserve">Instructions concerning specific positions of </w:t>
      </w:r>
      <w:r w:rsidR="001F38A0">
        <w:rPr>
          <w:sz w:val="22"/>
          <w:szCs w:val="22"/>
        </w:rPr>
        <w:t>t</w:t>
      </w:r>
      <w:r w:rsidRPr="00CC1FCD">
        <w:rPr>
          <w:sz w:val="22"/>
          <w:szCs w:val="22"/>
        </w:rPr>
        <w:t xml:space="preserve">emplate </w:t>
      </w:r>
      <w:bookmarkEnd w:id="32"/>
      <w:r w:rsidR="00DE2031" w:rsidRPr="00CC1FCD">
        <w:rPr>
          <w:sz w:val="22"/>
          <w:szCs w:val="22"/>
        </w:rPr>
        <w:t>S 09.01</w:t>
      </w:r>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63E6F" w:rsidRPr="00CC1FCD" w14:paraId="4D528782" w14:textId="77777777" w:rsidTr="743F314D">
        <w:tc>
          <w:tcPr>
            <w:tcW w:w="1129" w:type="dxa"/>
            <w:shd w:val="clear" w:color="auto" w:fill="D9D9D9" w:themeFill="background1" w:themeFillShade="D9"/>
          </w:tcPr>
          <w:p w14:paraId="7D53E82D" w14:textId="77777777" w:rsidR="00163E6F" w:rsidRPr="00CC1FCD" w:rsidRDefault="00163E6F" w:rsidP="00C76F31">
            <w:pPr>
              <w:pStyle w:val="InstructionsText"/>
              <w:rPr>
                <w:rStyle w:val="InstructionsTabelleText"/>
                <w:rFonts w:ascii="Times New Roman" w:hAnsi="Times New Roman"/>
                <w:sz w:val="22"/>
                <w:lang w:val="en-GB" w:eastAsia="en-US"/>
              </w:rPr>
            </w:pPr>
            <w:r w:rsidRPr="00CC1FCD">
              <w:rPr>
                <w:rStyle w:val="InstructionsTabelleText"/>
                <w:rFonts w:ascii="Times New Roman" w:hAnsi="Times New Roman"/>
                <w:sz w:val="22"/>
                <w:lang w:val="en-GB"/>
              </w:rPr>
              <w:t>Row</w:t>
            </w:r>
          </w:p>
        </w:tc>
        <w:tc>
          <w:tcPr>
            <w:tcW w:w="7620" w:type="dxa"/>
            <w:shd w:val="clear" w:color="auto" w:fill="D9D9D9" w:themeFill="background1" w:themeFillShade="D9"/>
          </w:tcPr>
          <w:p w14:paraId="16FEF039" w14:textId="77777777" w:rsidR="00163E6F" w:rsidRPr="00CC1FCD" w:rsidRDefault="00163E6F"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Legal references and instructions</w:t>
            </w:r>
          </w:p>
        </w:tc>
      </w:tr>
      <w:tr w:rsidR="00163E6F" w:rsidRPr="00CC1FCD" w14:paraId="70B466A8" w14:textId="77777777" w:rsidTr="743F314D">
        <w:tc>
          <w:tcPr>
            <w:tcW w:w="1129" w:type="dxa"/>
          </w:tcPr>
          <w:p w14:paraId="72256708" w14:textId="77777777" w:rsidR="00163E6F" w:rsidRPr="00CC1FCD" w:rsidRDefault="00163E6F"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0010</w:t>
            </w:r>
          </w:p>
        </w:tc>
        <w:tc>
          <w:tcPr>
            <w:tcW w:w="7620" w:type="dxa"/>
          </w:tcPr>
          <w:p w14:paraId="1FEE91D3" w14:textId="197ADA40" w:rsidR="00163E6F" w:rsidRPr="00CC1FCD" w:rsidRDefault="00163E6F"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 xml:space="preserve">Minimum amount of own funds </w:t>
            </w:r>
            <w:r w:rsidR="00154FFC" w:rsidRPr="00CC1FCD">
              <w:rPr>
                <w:rStyle w:val="InstructionsTabelleberschrift"/>
                <w:rFonts w:ascii="Times New Roman" w:hAnsi="Times New Roman"/>
                <w:sz w:val="22"/>
                <w:lang w:val="en-GB"/>
              </w:rPr>
              <w:t>requirements</w:t>
            </w:r>
            <w:r w:rsidRPr="00CC1FCD">
              <w:rPr>
                <w:rStyle w:val="InstructionsTabelleberschrift"/>
                <w:rFonts w:ascii="Times New Roman" w:hAnsi="Times New Roman"/>
                <w:sz w:val="22"/>
                <w:lang w:val="en-GB"/>
              </w:rPr>
              <w:t xml:space="preserve"> at reference date</w:t>
            </w:r>
          </w:p>
          <w:p w14:paraId="1E5CFF21" w14:textId="3430EEF4" w:rsidR="00163E6F" w:rsidRPr="00CC1FCD" w:rsidRDefault="00163E6F" w:rsidP="00C76F31">
            <w:pPr>
              <w:pStyle w:val="InstructionsText"/>
              <w:rPr>
                <w:rStyle w:val="InstructionsTabelleberschrift"/>
                <w:rFonts w:ascii="Times New Roman" w:hAnsi="Times New Roman"/>
                <w:b w:val="0"/>
                <w:bCs/>
                <w:sz w:val="22"/>
                <w:u w:val="none"/>
                <w:lang w:val="en-GB"/>
              </w:rPr>
            </w:pPr>
            <w:r w:rsidRPr="00CC1FCD">
              <w:rPr>
                <w:rStyle w:val="InstructionsTabelleberschrift"/>
                <w:rFonts w:ascii="Times New Roman" w:hAnsi="Times New Roman"/>
                <w:b w:val="0"/>
                <w:bCs/>
                <w:sz w:val="22"/>
                <w:u w:val="none"/>
                <w:lang w:val="en-GB"/>
              </w:rPr>
              <w:t xml:space="preserve">The minimum amount of own funds </w:t>
            </w:r>
            <w:r w:rsidR="00154FFC" w:rsidRPr="00CC1FCD">
              <w:rPr>
                <w:rStyle w:val="InstructionsTabelleberschrift"/>
                <w:rFonts w:ascii="Times New Roman" w:hAnsi="Times New Roman"/>
                <w:b w:val="0"/>
                <w:bCs/>
                <w:sz w:val="22"/>
                <w:u w:val="none"/>
                <w:lang w:val="en-GB"/>
              </w:rPr>
              <w:t>requirements</w:t>
            </w:r>
            <w:r w:rsidRPr="00CC1FCD">
              <w:rPr>
                <w:rStyle w:val="InstructionsTabelleberschrift"/>
                <w:rFonts w:ascii="Times New Roman" w:hAnsi="Times New Roman"/>
                <w:b w:val="0"/>
                <w:bCs/>
                <w:sz w:val="22"/>
                <w:u w:val="none"/>
                <w:lang w:val="en-GB"/>
              </w:rPr>
              <w:t xml:space="preserve"> at reference date, following Article 35(1) </w:t>
            </w:r>
            <w:r w:rsidR="001F38A0">
              <w:rPr>
                <w:rStyle w:val="InstructionsTabelleberschrift"/>
                <w:rFonts w:ascii="Times New Roman" w:hAnsi="Times New Roman"/>
                <w:b w:val="0"/>
                <w:bCs/>
                <w:sz w:val="22"/>
                <w:u w:val="none"/>
                <w:lang w:val="en-GB"/>
              </w:rPr>
              <w:t>of</w:t>
            </w:r>
            <w:r w:rsidRPr="00CC1FCD">
              <w:rPr>
                <w:rStyle w:val="InstructionsTabelleberschrift"/>
                <w:rFonts w:ascii="Times New Roman" w:hAnsi="Times New Roman"/>
                <w:b w:val="0"/>
                <w:bCs/>
                <w:sz w:val="22"/>
                <w:u w:val="none"/>
                <w:lang w:val="en-GB"/>
              </w:rPr>
              <w:t xml:space="preserve"> Regulation (EU) 2023/1114, and</w:t>
            </w:r>
            <w:r w:rsidR="001F38A0">
              <w:rPr>
                <w:rStyle w:val="InstructionsTabelleberschrift"/>
                <w:rFonts w:ascii="Times New Roman" w:hAnsi="Times New Roman"/>
                <w:b w:val="0"/>
                <w:bCs/>
                <w:sz w:val="22"/>
                <w:u w:val="none"/>
                <w:lang w:val="en-GB"/>
              </w:rPr>
              <w:t>,</w:t>
            </w:r>
            <w:r w:rsidRPr="00CC1FCD">
              <w:rPr>
                <w:rStyle w:val="InstructionsTabelleberschrift"/>
                <w:rFonts w:ascii="Times New Roman" w:hAnsi="Times New Roman"/>
                <w:b w:val="0"/>
                <w:bCs/>
                <w:sz w:val="22"/>
                <w:u w:val="none"/>
                <w:lang w:val="en-GB"/>
              </w:rPr>
              <w:t xml:space="preserve"> in </w:t>
            </w:r>
            <w:r w:rsidR="001F38A0">
              <w:rPr>
                <w:rStyle w:val="InstructionsTabelleberschrift"/>
                <w:rFonts w:ascii="Times New Roman" w:hAnsi="Times New Roman"/>
                <w:b w:val="0"/>
                <w:bCs/>
                <w:sz w:val="22"/>
                <w:u w:val="none"/>
                <w:lang w:val="en-GB"/>
              </w:rPr>
              <w:t xml:space="preserve">the </w:t>
            </w:r>
            <w:r w:rsidRPr="00CC1FCD">
              <w:rPr>
                <w:rStyle w:val="InstructionsTabelleberschrift"/>
                <w:rFonts w:ascii="Times New Roman" w:hAnsi="Times New Roman"/>
                <w:b w:val="0"/>
                <w:bCs/>
                <w:sz w:val="22"/>
                <w:u w:val="none"/>
                <w:lang w:val="en-GB"/>
              </w:rPr>
              <w:t xml:space="preserve">case of significant tokens, also considering Article 45(5) of </w:t>
            </w:r>
            <w:r w:rsidR="005928E3" w:rsidRPr="00CC1FCD">
              <w:rPr>
                <w:rStyle w:val="InstructionsTabelleberschrift"/>
                <w:rFonts w:ascii="Times New Roman" w:hAnsi="Times New Roman"/>
                <w:b w:val="0"/>
                <w:bCs/>
                <w:sz w:val="22"/>
                <w:u w:val="none"/>
                <w:lang w:val="en-GB"/>
              </w:rPr>
              <w:t>that</w:t>
            </w:r>
            <w:r w:rsidRPr="00CC1FCD">
              <w:rPr>
                <w:rStyle w:val="InstructionsTabelleberschrift"/>
                <w:rFonts w:ascii="Times New Roman" w:hAnsi="Times New Roman"/>
                <w:b w:val="0"/>
                <w:bCs/>
                <w:sz w:val="22"/>
                <w:u w:val="none"/>
                <w:lang w:val="en-GB"/>
              </w:rPr>
              <w:t xml:space="preserve"> Regulation.</w:t>
            </w:r>
          </w:p>
        </w:tc>
      </w:tr>
      <w:tr w:rsidR="332BC649" w:rsidRPr="00CC1FCD" w14:paraId="319828D5" w14:textId="77777777" w:rsidTr="743F314D">
        <w:trPr>
          <w:trHeight w:val="300"/>
        </w:trPr>
        <w:tc>
          <w:tcPr>
            <w:tcW w:w="1129" w:type="dxa"/>
          </w:tcPr>
          <w:p w14:paraId="31DACBC4" w14:textId="4D685491" w:rsidR="332BC649" w:rsidRPr="00CC1FCD" w:rsidRDefault="65118186"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0020</w:t>
            </w:r>
          </w:p>
        </w:tc>
        <w:tc>
          <w:tcPr>
            <w:tcW w:w="7620" w:type="dxa"/>
          </w:tcPr>
          <w:p w14:paraId="501A4DE0" w14:textId="74842CFB" w:rsidR="332BC649" w:rsidRPr="00CC1FCD" w:rsidRDefault="6399FE81"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Average amount of the reserve of assets</w:t>
            </w:r>
          </w:p>
          <w:p w14:paraId="28A5A4AC" w14:textId="241A5FF3" w:rsidR="332BC649" w:rsidRPr="00CC1FCD" w:rsidRDefault="6399FE81" w:rsidP="00C76F31">
            <w:pPr>
              <w:pStyle w:val="InstructionsText"/>
              <w:rPr>
                <w:rStyle w:val="FormatvorlageInstructionsTabelleText"/>
                <w:rFonts w:ascii="Times New Roman" w:hAnsi="Times New Roman"/>
                <w:b/>
                <w:bCs/>
                <w:sz w:val="22"/>
                <w:lang w:val="en-GB"/>
              </w:rPr>
            </w:pPr>
            <w:r w:rsidRPr="00CC1FCD">
              <w:rPr>
                <w:rStyle w:val="InstructionsTabelleberschrift"/>
                <w:rFonts w:ascii="Times New Roman" w:hAnsi="Times New Roman"/>
                <w:b w:val="0"/>
                <w:bCs/>
                <w:sz w:val="22"/>
                <w:u w:val="none"/>
                <w:lang w:val="en-GB"/>
              </w:rPr>
              <w:t>The average amount of the reserve of assets, as defined under Article 36 of Regulation (EU) 2023/1114 and</w:t>
            </w:r>
            <w:r w:rsidR="00467D41" w:rsidRPr="00CC1FCD">
              <w:rPr>
                <w:rStyle w:val="InstructionsTabelleberschrift"/>
                <w:rFonts w:ascii="Times New Roman" w:hAnsi="Times New Roman"/>
                <w:b w:val="0"/>
                <w:bCs/>
                <w:sz w:val="22"/>
                <w:u w:val="none"/>
                <w:lang w:val="en-GB"/>
              </w:rPr>
              <w:t xml:space="preserve"> regulatory standards adopted by the Commission pursuant to Article 36(4) of Regulation (EU) 2023/1114</w:t>
            </w:r>
            <w:r w:rsidRPr="00CC1FCD">
              <w:rPr>
                <w:rStyle w:val="InstructionsTabelleberschrift"/>
                <w:rFonts w:ascii="Times New Roman" w:hAnsi="Times New Roman"/>
                <w:b w:val="0"/>
                <w:bCs/>
                <w:sz w:val="22"/>
                <w:u w:val="none"/>
                <w:lang w:val="en-GB"/>
              </w:rPr>
              <w:t xml:space="preserve">, calculated over the preceding six months of the reference date, following the specifications </w:t>
            </w:r>
            <w:r w:rsidR="2305E1A8" w:rsidRPr="00CC1FCD">
              <w:rPr>
                <w:rStyle w:val="InstructionsTabelleberschrift"/>
                <w:rFonts w:ascii="Times New Roman" w:hAnsi="Times New Roman"/>
                <w:b w:val="0"/>
                <w:bCs/>
                <w:sz w:val="22"/>
                <w:u w:val="none"/>
                <w:lang w:val="en-GB"/>
              </w:rPr>
              <w:t>provided in Article 35(1) of Regulation (EU) 2023/1114, as [</w:t>
            </w:r>
            <w:r w:rsidR="001F38A0">
              <w:rPr>
                <w:rStyle w:val="InstructionsTabelleberschrift"/>
                <w:rFonts w:ascii="Times New Roman" w:hAnsi="Times New Roman"/>
                <w:b w:val="0"/>
                <w:bCs/>
                <w:sz w:val="22"/>
                <w:u w:val="none"/>
                <w:lang w:val="en-GB"/>
              </w:rPr>
              <w:t>‘</w:t>
            </w:r>
            <w:r w:rsidR="2305E1A8" w:rsidRPr="00CC1FCD">
              <w:rPr>
                <w:rStyle w:val="InstructionsTabelleberschrift"/>
                <w:rFonts w:ascii="Times New Roman" w:hAnsi="Times New Roman"/>
                <w:b w:val="0"/>
                <w:bCs/>
                <w:sz w:val="22"/>
                <w:u w:val="none"/>
                <w:lang w:val="en-GB"/>
              </w:rPr>
              <w:t>…</w:t>
            </w:r>
            <w:r w:rsidR="2305E1A8" w:rsidRPr="00CC1FCD">
              <w:rPr>
                <w:rStyle w:val="InstructionsTabelleberschrift"/>
                <w:rFonts w:ascii="Times New Roman" w:hAnsi="Times New Roman"/>
                <w:b w:val="0"/>
                <w:bCs/>
                <w:i/>
                <w:iCs/>
                <w:sz w:val="22"/>
                <w:u w:val="none"/>
                <w:lang w:val="en-GB"/>
              </w:rPr>
              <w:t xml:space="preserve">the average amount of the reserve of assets </w:t>
            </w:r>
            <w:r w:rsidR="004E670D" w:rsidRPr="00CC1FCD">
              <w:rPr>
                <w:rStyle w:val="InstructionsTabelleberschrift"/>
                <w:rFonts w:ascii="Times New Roman" w:hAnsi="Times New Roman"/>
                <w:b w:val="0"/>
                <w:bCs/>
                <w:i/>
                <w:iCs/>
                <w:sz w:val="22"/>
                <w:u w:val="none"/>
                <w:lang w:val="en-GB"/>
              </w:rPr>
              <w:t>should</w:t>
            </w:r>
            <w:r w:rsidR="2305E1A8" w:rsidRPr="00CC1FCD">
              <w:rPr>
                <w:rStyle w:val="InstructionsTabelleberschrift"/>
                <w:rFonts w:ascii="Times New Roman" w:hAnsi="Times New Roman"/>
                <w:b w:val="0"/>
                <w:bCs/>
                <w:i/>
                <w:iCs/>
                <w:sz w:val="22"/>
                <w:u w:val="none"/>
                <w:lang w:val="en-GB"/>
              </w:rPr>
              <w:t xml:space="preserve"> mean the average amount of the reserve assets at the end of each calendar day, calculated over the preceding six months</w:t>
            </w:r>
            <w:r w:rsidR="001F38A0">
              <w:rPr>
                <w:rStyle w:val="InstructionsTabelleberschrift"/>
                <w:rFonts w:ascii="Times New Roman" w:hAnsi="Times New Roman"/>
                <w:b w:val="0"/>
                <w:bCs/>
                <w:sz w:val="22"/>
                <w:u w:val="none"/>
                <w:lang w:val="en-GB"/>
              </w:rPr>
              <w:t>’</w:t>
            </w:r>
            <w:r w:rsidR="2305E1A8" w:rsidRPr="00CC1FCD">
              <w:rPr>
                <w:rStyle w:val="InstructionsTabelleberschrift"/>
                <w:rFonts w:ascii="Times New Roman" w:hAnsi="Times New Roman"/>
                <w:b w:val="0"/>
                <w:bCs/>
                <w:sz w:val="22"/>
                <w:u w:val="none"/>
                <w:lang w:val="en-GB"/>
              </w:rPr>
              <w:t>].</w:t>
            </w:r>
          </w:p>
        </w:tc>
      </w:tr>
      <w:tr w:rsidR="743F314D" w:rsidRPr="00CC1FCD" w14:paraId="0D0F219D" w14:textId="77777777" w:rsidTr="743F314D">
        <w:trPr>
          <w:trHeight w:val="300"/>
        </w:trPr>
        <w:tc>
          <w:tcPr>
            <w:tcW w:w="1129" w:type="dxa"/>
          </w:tcPr>
          <w:p w14:paraId="6FB78125" w14:textId="1B8F81BB" w:rsidR="65118186" w:rsidRPr="00CC1FCD" w:rsidRDefault="65118186"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0030</w:t>
            </w:r>
          </w:p>
        </w:tc>
        <w:tc>
          <w:tcPr>
            <w:tcW w:w="7620" w:type="dxa"/>
          </w:tcPr>
          <w:p w14:paraId="31A73A67" w14:textId="37936977" w:rsidR="3AF33087" w:rsidRPr="00CC1FCD" w:rsidRDefault="3AF33087"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Quarter of the fixed overheads of the preceding year</w:t>
            </w:r>
          </w:p>
          <w:p w14:paraId="3AC4745A" w14:textId="7A60042D" w:rsidR="743F314D" w:rsidRPr="00CC1FCD" w:rsidRDefault="3AF33087" w:rsidP="00C76F31">
            <w:pPr>
              <w:pStyle w:val="InstructionsText"/>
              <w:rPr>
                <w:b/>
                <w:lang w:val="en-GB"/>
              </w:rPr>
            </w:pPr>
            <w:r w:rsidRPr="00CC1FCD">
              <w:rPr>
                <w:rStyle w:val="InstructionsTabelleberschrift"/>
                <w:rFonts w:ascii="Times New Roman" w:hAnsi="Times New Roman"/>
                <w:b w:val="0"/>
                <w:bCs/>
                <w:sz w:val="22"/>
                <w:u w:val="none"/>
                <w:lang w:val="en-GB"/>
              </w:rPr>
              <w:t xml:space="preserve">The quarter of the fixed overheads of the preceding year, following Article 35(1) of Regulation (EU) 2023/1114. As further </w:t>
            </w:r>
            <w:r w:rsidR="2171189F" w:rsidRPr="00CC1FCD">
              <w:rPr>
                <w:rStyle w:val="InstructionsTabelleberschrift"/>
                <w:rFonts w:ascii="Times New Roman" w:hAnsi="Times New Roman"/>
                <w:b w:val="0"/>
                <w:bCs/>
                <w:sz w:val="22"/>
                <w:u w:val="none"/>
                <w:lang w:val="en-GB"/>
              </w:rPr>
              <w:t>specified in the same article, this amount [</w:t>
            </w:r>
            <w:r w:rsidR="001F38A0">
              <w:rPr>
                <w:rStyle w:val="InstructionsTabelleberschrift"/>
                <w:rFonts w:ascii="Times New Roman" w:hAnsi="Times New Roman"/>
                <w:b w:val="0"/>
                <w:bCs/>
                <w:sz w:val="22"/>
                <w:u w:val="none"/>
                <w:lang w:val="en-GB"/>
              </w:rPr>
              <w:t>‘</w:t>
            </w:r>
            <w:r w:rsidR="2171189F" w:rsidRPr="00CC1FCD">
              <w:rPr>
                <w:rStyle w:val="InstructionsTabelleberschrift"/>
                <w:rFonts w:ascii="Times New Roman" w:hAnsi="Times New Roman"/>
                <w:b w:val="0"/>
                <w:bCs/>
                <w:sz w:val="22"/>
                <w:u w:val="none"/>
                <w:lang w:val="en-GB"/>
              </w:rPr>
              <w:t>...</w:t>
            </w:r>
            <w:r w:rsidR="004E670D" w:rsidRPr="00CC1FCD">
              <w:rPr>
                <w:rStyle w:val="InstructionsTabelleberschrift"/>
                <w:rFonts w:ascii="Times New Roman" w:hAnsi="Times New Roman"/>
                <w:b w:val="0"/>
                <w:bCs/>
                <w:i/>
                <w:iCs/>
                <w:sz w:val="22"/>
                <w:u w:val="none"/>
                <w:lang w:val="en-GB"/>
              </w:rPr>
              <w:t>should</w:t>
            </w:r>
            <w:r w:rsidR="2171189F" w:rsidRPr="00CC1FCD">
              <w:rPr>
                <w:rStyle w:val="InstructionsTabelleberschrift"/>
                <w:rFonts w:ascii="Times New Roman" w:hAnsi="Times New Roman"/>
                <w:b w:val="0"/>
                <w:bCs/>
                <w:i/>
                <w:iCs/>
                <w:sz w:val="22"/>
                <w:u w:val="none"/>
                <w:lang w:val="en-GB"/>
              </w:rPr>
              <w:t xml:space="preserve"> be reviewed annually and calculated in accordance with </w:t>
            </w:r>
            <w:r w:rsidR="2E8CEFDD" w:rsidRPr="00CC1FCD">
              <w:rPr>
                <w:rStyle w:val="InstructionsTabelleberschrift"/>
                <w:rFonts w:ascii="Times New Roman" w:hAnsi="Times New Roman"/>
                <w:b w:val="0"/>
                <w:bCs/>
                <w:i/>
                <w:iCs/>
                <w:sz w:val="22"/>
                <w:u w:val="none"/>
                <w:lang w:val="en-GB"/>
              </w:rPr>
              <w:t>Article 67(3)</w:t>
            </w:r>
            <w:r w:rsidR="001F38A0">
              <w:rPr>
                <w:rStyle w:val="InstructionsTabelleberschrift"/>
                <w:rFonts w:ascii="Times New Roman" w:hAnsi="Times New Roman"/>
                <w:b w:val="0"/>
                <w:bCs/>
                <w:i/>
                <w:iCs/>
                <w:sz w:val="22"/>
                <w:u w:val="none"/>
                <w:lang w:val="en-GB"/>
              </w:rPr>
              <w:t>’</w:t>
            </w:r>
            <w:r w:rsidR="2E8CEFDD" w:rsidRPr="00CC1FCD">
              <w:rPr>
                <w:rStyle w:val="InstructionsTabelleberschrift"/>
                <w:rFonts w:ascii="Times New Roman" w:hAnsi="Times New Roman"/>
                <w:b w:val="0"/>
                <w:bCs/>
                <w:sz w:val="22"/>
                <w:u w:val="none"/>
                <w:lang w:val="en-GB"/>
              </w:rPr>
              <w:t>] of Regulation (EU) 2023/1114.</w:t>
            </w:r>
            <w:r w:rsidR="2171189F" w:rsidRPr="00CC1FCD">
              <w:rPr>
                <w:rStyle w:val="InstructionsTabelleberschrift"/>
                <w:rFonts w:ascii="Times New Roman" w:hAnsi="Times New Roman"/>
                <w:b w:val="0"/>
                <w:bCs/>
                <w:sz w:val="22"/>
                <w:u w:val="none"/>
                <w:lang w:val="en-GB"/>
              </w:rPr>
              <w:t xml:space="preserve">  </w:t>
            </w:r>
          </w:p>
        </w:tc>
      </w:tr>
      <w:tr w:rsidR="00163E6F" w:rsidRPr="00CC1FCD" w14:paraId="7C84CC71" w14:textId="77777777" w:rsidTr="743F314D">
        <w:tc>
          <w:tcPr>
            <w:tcW w:w="1129" w:type="dxa"/>
          </w:tcPr>
          <w:p w14:paraId="53D33AC8" w14:textId="74FA4FE4" w:rsidR="00163E6F" w:rsidRPr="00CC1FCD" w:rsidRDefault="00163E6F"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t>00</w:t>
            </w:r>
            <w:r w:rsidR="433B0116" w:rsidRPr="00CC1FCD">
              <w:rPr>
                <w:rStyle w:val="FormatvorlageInstructionsTabelleText"/>
                <w:rFonts w:ascii="Times New Roman" w:hAnsi="Times New Roman"/>
                <w:sz w:val="22"/>
                <w:lang w:val="en-GB"/>
              </w:rPr>
              <w:t>4</w:t>
            </w:r>
            <w:r w:rsidRPr="00CC1FCD">
              <w:rPr>
                <w:rStyle w:val="FormatvorlageInstructionsTabelleText"/>
                <w:rFonts w:ascii="Times New Roman" w:hAnsi="Times New Roman"/>
                <w:sz w:val="22"/>
                <w:lang w:val="en-GB"/>
              </w:rPr>
              <w:t>0</w:t>
            </w:r>
          </w:p>
        </w:tc>
        <w:tc>
          <w:tcPr>
            <w:tcW w:w="7620" w:type="dxa"/>
          </w:tcPr>
          <w:p w14:paraId="6982FF51" w14:textId="77777777" w:rsidR="00163E6F" w:rsidRPr="00CC1FCD" w:rsidRDefault="00163E6F"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Own funds amount at reference date</w:t>
            </w:r>
          </w:p>
          <w:p w14:paraId="6189BF82" w14:textId="508D27C2" w:rsidR="00163E6F" w:rsidRPr="00CC1FCD" w:rsidRDefault="00163E6F" w:rsidP="00C76F31">
            <w:pPr>
              <w:pStyle w:val="InstructionsText"/>
              <w:rPr>
                <w:rStyle w:val="FormatvorlageInstructionsTabelleText"/>
                <w:rFonts w:ascii="Times New Roman" w:hAnsi="Times New Roman"/>
                <w:b/>
                <w:bCs/>
                <w:sz w:val="22"/>
                <w:lang w:val="en-GB"/>
              </w:rPr>
            </w:pPr>
            <w:r w:rsidRPr="00CC1FCD">
              <w:rPr>
                <w:rStyle w:val="InstructionsTabelleberschrift"/>
                <w:rFonts w:ascii="Times New Roman" w:hAnsi="Times New Roman"/>
                <w:b w:val="0"/>
                <w:bCs/>
                <w:sz w:val="22"/>
                <w:u w:val="none"/>
                <w:lang w:val="en-GB"/>
              </w:rPr>
              <w:t xml:space="preserve">The own funds amount calculated at the reference date, following Article 35 </w:t>
            </w:r>
            <w:r w:rsidR="001F38A0">
              <w:rPr>
                <w:rStyle w:val="InstructionsTabelleberschrift"/>
                <w:rFonts w:ascii="Times New Roman" w:hAnsi="Times New Roman"/>
                <w:b w:val="0"/>
                <w:bCs/>
                <w:sz w:val="22"/>
                <w:u w:val="none"/>
                <w:lang w:val="en-GB"/>
              </w:rPr>
              <w:t>of</w:t>
            </w:r>
            <w:r w:rsidRPr="00CC1FCD">
              <w:rPr>
                <w:rStyle w:val="InstructionsTabelleberschrift"/>
                <w:rFonts w:ascii="Times New Roman" w:hAnsi="Times New Roman"/>
                <w:b w:val="0"/>
                <w:bCs/>
                <w:sz w:val="22"/>
                <w:u w:val="none"/>
                <w:lang w:val="en-GB"/>
              </w:rPr>
              <w:t xml:space="preserve"> Regulation (EU) 2023/114.</w:t>
            </w:r>
          </w:p>
        </w:tc>
      </w:tr>
      <w:tr w:rsidR="00163E6F" w:rsidRPr="00CC1FCD" w14:paraId="38CF13BA" w14:textId="77777777" w:rsidTr="743F314D">
        <w:tc>
          <w:tcPr>
            <w:tcW w:w="1129" w:type="dxa"/>
          </w:tcPr>
          <w:p w14:paraId="0DA412AD" w14:textId="6C50C24C" w:rsidR="00163E6F" w:rsidRPr="00CC1FCD" w:rsidRDefault="00163E6F"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w:t>
            </w:r>
            <w:r w:rsidR="34B6B3BD" w:rsidRPr="00CC1FCD">
              <w:rPr>
                <w:rStyle w:val="FormatvorlageInstructionsTabelleText"/>
                <w:rFonts w:ascii="Times New Roman" w:hAnsi="Times New Roman"/>
                <w:sz w:val="22"/>
                <w:lang w:val="en-GB"/>
              </w:rPr>
              <w:t>5</w:t>
            </w:r>
            <w:r w:rsidRPr="00CC1FCD">
              <w:rPr>
                <w:rStyle w:val="FormatvorlageInstructionsTabelleText"/>
                <w:rFonts w:ascii="Times New Roman" w:hAnsi="Times New Roman"/>
                <w:sz w:val="22"/>
                <w:lang w:val="en-GB"/>
              </w:rPr>
              <w:t>0</w:t>
            </w:r>
          </w:p>
        </w:tc>
        <w:tc>
          <w:tcPr>
            <w:tcW w:w="7620" w:type="dxa"/>
          </w:tcPr>
          <w:p w14:paraId="6A6D21A1" w14:textId="77777777" w:rsidR="00163E6F" w:rsidRPr="00CC1FCD" w:rsidRDefault="00163E6F"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Additional own funds requirements</w:t>
            </w:r>
          </w:p>
          <w:p w14:paraId="77B012D3" w14:textId="439DA632" w:rsidR="00163E6F" w:rsidRPr="00CC1FCD" w:rsidRDefault="00163E6F"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If applicable, the required additional amount of the own </w:t>
            </w:r>
            <w:proofErr w:type="gramStart"/>
            <w:r w:rsidRPr="00CC1FCD">
              <w:rPr>
                <w:rStyle w:val="InstructionsTabelleberschrift"/>
                <w:rFonts w:ascii="Times New Roman" w:hAnsi="Times New Roman"/>
                <w:b w:val="0"/>
                <w:bCs/>
                <w:sz w:val="22"/>
                <w:u w:val="none"/>
                <w:lang w:val="en-GB"/>
              </w:rPr>
              <w:t>funds</w:t>
            </w:r>
            <w:proofErr w:type="gramEnd"/>
            <w:r w:rsidRPr="00CC1FCD">
              <w:rPr>
                <w:rStyle w:val="InstructionsTabelleberschrift"/>
                <w:rFonts w:ascii="Times New Roman" w:hAnsi="Times New Roman"/>
                <w:b w:val="0"/>
                <w:bCs/>
                <w:sz w:val="22"/>
                <w:u w:val="none"/>
                <w:lang w:val="en-GB"/>
              </w:rPr>
              <w:t xml:space="preserve"> </w:t>
            </w:r>
            <w:r w:rsidR="001F38A0">
              <w:rPr>
                <w:rStyle w:val="InstructionsTabelleberschrift"/>
                <w:rFonts w:ascii="Times New Roman" w:hAnsi="Times New Roman"/>
                <w:b w:val="0"/>
                <w:bCs/>
                <w:sz w:val="22"/>
                <w:u w:val="none"/>
                <w:lang w:val="en-GB"/>
              </w:rPr>
              <w:t>requirements</w:t>
            </w:r>
            <w:r w:rsidRPr="00CC1FCD">
              <w:rPr>
                <w:rStyle w:val="InstructionsTabelleberschrift"/>
                <w:rFonts w:ascii="Times New Roman" w:hAnsi="Times New Roman"/>
                <w:b w:val="0"/>
                <w:bCs/>
                <w:sz w:val="22"/>
                <w:u w:val="none"/>
                <w:lang w:val="en-GB"/>
              </w:rPr>
              <w:t xml:space="preserve">, following paragraphs (1) to (3) of Article 35 </w:t>
            </w:r>
            <w:r w:rsidR="001F38A0">
              <w:rPr>
                <w:rStyle w:val="InstructionsTabelleberschrift"/>
                <w:rFonts w:ascii="Times New Roman" w:hAnsi="Times New Roman"/>
                <w:b w:val="0"/>
                <w:bCs/>
                <w:sz w:val="22"/>
                <w:u w:val="none"/>
                <w:lang w:val="en-GB"/>
              </w:rPr>
              <w:t>of</w:t>
            </w:r>
            <w:r w:rsidRPr="00CC1FCD">
              <w:rPr>
                <w:rStyle w:val="InstructionsTabelleberschrift"/>
                <w:rFonts w:ascii="Times New Roman" w:hAnsi="Times New Roman"/>
                <w:b w:val="0"/>
                <w:bCs/>
                <w:sz w:val="22"/>
                <w:u w:val="none"/>
                <w:lang w:val="en-GB"/>
              </w:rPr>
              <w:t xml:space="preserve"> Regulation (EU) 2023/1114.</w:t>
            </w:r>
          </w:p>
        </w:tc>
      </w:tr>
      <w:tr w:rsidR="002C7035" w:rsidRPr="00CC1FCD" w14:paraId="5CF470C9" w14:textId="77777777" w:rsidTr="743F314D">
        <w:tc>
          <w:tcPr>
            <w:tcW w:w="1129" w:type="dxa"/>
          </w:tcPr>
          <w:p w14:paraId="53819DCE" w14:textId="146AFF67" w:rsidR="002C7035" w:rsidRPr="00CC1FCD" w:rsidRDefault="002C7035"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0060</w:t>
            </w:r>
          </w:p>
        </w:tc>
        <w:tc>
          <w:tcPr>
            <w:tcW w:w="7620" w:type="dxa"/>
          </w:tcPr>
          <w:p w14:paraId="292C3E4D" w14:textId="0AC87FA0" w:rsidR="002C7035" w:rsidRPr="00CC1FCD" w:rsidRDefault="002C7035"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Additional own funds requirements due to stress testing outcome</w:t>
            </w:r>
          </w:p>
          <w:p w14:paraId="2E8FC7E5" w14:textId="17248262" w:rsidR="002C7035" w:rsidRPr="00CC1FCD" w:rsidRDefault="002C7035"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If applicable, the required additional amount of the own </w:t>
            </w:r>
            <w:proofErr w:type="gramStart"/>
            <w:r w:rsidRPr="00CC1FCD">
              <w:rPr>
                <w:rStyle w:val="InstructionsTabelleberschrift"/>
                <w:rFonts w:ascii="Times New Roman" w:hAnsi="Times New Roman"/>
                <w:b w:val="0"/>
                <w:bCs/>
                <w:sz w:val="22"/>
                <w:u w:val="none"/>
                <w:lang w:val="en-GB"/>
              </w:rPr>
              <w:t>funds</w:t>
            </w:r>
            <w:proofErr w:type="gramEnd"/>
            <w:r w:rsidRPr="00CC1FCD">
              <w:rPr>
                <w:rStyle w:val="InstructionsTabelleberschrift"/>
                <w:rFonts w:ascii="Times New Roman" w:hAnsi="Times New Roman"/>
                <w:b w:val="0"/>
                <w:bCs/>
                <w:sz w:val="22"/>
                <w:u w:val="none"/>
                <w:lang w:val="en-GB"/>
              </w:rPr>
              <w:t xml:space="preserve"> </w:t>
            </w:r>
            <w:r w:rsidR="001F38A0">
              <w:rPr>
                <w:rStyle w:val="InstructionsTabelleberschrift"/>
                <w:rFonts w:ascii="Times New Roman" w:hAnsi="Times New Roman"/>
                <w:b w:val="0"/>
                <w:bCs/>
                <w:sz w:val="22"/>
                <w:u w:val="none"/>
                <w:lang w:val="en-GB"/>
              </w:rPr>
              <w:t>requirements</w:t>
            </w:r>
            <w:r w:rsidRPr="00CC1FCD">
              <w:rPr>
                <w:rStyle w:val="InstructionsTabelleberschrift"/>
                <w:rFonts w:ascii="Times New Roman" w:hAnsi="Times New Roman"/>
                <w:b w:val="0"/>
                <w:bCs/>
                <w:sz w:val="22"/>
                <w:u w:val="none"/>
                <w:lang w:val="en-GB"/>
              </w:rPr>
              <w:t xml:space="preserve">, following paragraph (5) of Article 35 </w:t>
            </w:r>
            <w:r w:rsidR="001F38A0">
              <w:rPr>
                <w:rStyle w:val="InstructionsTabelleberschrift"/>
                <w:rFonts w:ascii="Times New Roman" w:hAnsi="Times New Roman"/>
                <w:b w:val="0"/>
                <w:bCs/>
                <w:sz w:val="22"/>
                <w:u w:val="none"/>
                <w:lang w:val="en-GB"/>
              </w:rPr>
              <w:t>of</w:t>
            </w:r>
            <w:r w:rsidRPr="00CC1FCD">
              <w:rPr>
                <w:rStyle w:val="InstructionsTabelleberschrift"/>
                <w:rFonts w:ascii="Times New Roman" w:hAnsi="Times New Roman"/>
                <w:b w:val="0"/>
                <w:bCs/>
                <w:sz w:val="22"/>
                <w:u w:val="none"/>
                <w:lang w:val="en-GB"/>
              </w:rPr>
              <w:t xml:space="preserve"> Regulation (EU) 2023/1114.</w:t>
            </w:r>
          </w:p>
        </w:tc>
      </w:tr>
      <w:tr w:rsidR="00163E6F" w:rsidRPr="00CC1FCD" w14:paraId="3CFABF81" w14:textId="77777777" w:rsidTr="743F314D">
        <w:tc>
          <w:tcPr>
            <w:tcW w:w="1129" w:type="dxa"/>
          </w:tcPr>
          <w:p w14:paraId="7B348FC6" w14:textId="6A148436" w:rsidR="00163E6F" w:rsidRPr="00CC1FCD" w:rsidRDefault="00163E6F"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lastRenderedPageBreak/>
              <w:t>00</w:t>
            </w:r>
            <w:r w:rsidR="002C7035" w:rsidRPr="00CC1FCD">
              <w:rPr>
                <w:rStyle w:val="FormatvorlageInstructionsTabelleText"/>
                <w:rFonts w:ascii="Times New Roman" w:hAnsi="Times New Roman"/>
                <w:sz w:val="22"/>
                <w:lang w:val="en-GB"/>
              </w:rPr>
              <w:t>7</w:t>
            </w:r>
            <w:r w:rsidRPr="00CC1FCD">
              <w:rPr>
                <w:rStyle w:val="FormatvorlageInstructionsTabelleText"/>
                <w:rFonts w:ascii="Times New Roman" w:hAnsi="Times New Roman"/>
                <w:sz w:val="22"/>
                <w:lang w:val="en-GB"/>
              </w:rPr>
              <w:t>0</w:t>
            </w:r>
          </w:p>
        </w:tc>
        <w:tc>
          <w:tcPr>
            <w:tcW w:w="7620" w:type="dxa"/>
            <w:shd w:val="clear" w:color="auto" w:fill="auto"/>
          </w:tcPr>
          <w:p w14:paraId="2A7C8A87" w14:textId="77777777" w:rsidR="00163E6F" w:rsidRPr="00CC1FCD" w:rsidRDefault="00163E6F"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Ratio between the own funds amount and the average amount of the reserve of assets</w:t>
            </w:r>
          </w:p>
          <w:p w14:paraId="06DB3098" w14:textId="119C6732" w:rsidR="00163E6F" w:rsidRPr="00CC1FCD" w:rsidRDefault="00163E6F" w:rsidP="00C76F31">
            <w:pPr>
              <w:pStyle w:val="InstructionsText"/>
              <w:rPr>
                <w:rStyle w:val="InstructionsTabelleberschrift"/>
                <w:rFonts w:ascii="Times New Roman" w:hAnsi="Times New Roman"/>
                <w:b w:val="0"/>
                <w:bCs/>
                <w:sz w:val="22"/>
                <w:u w:val="none"/>
                <w:lang w:val="en-GB"/>
              </w:rPr>
            </w:pPr>
            <w:r w:rsidRPr="00CC1FCD">
              <w:rPr>
                <w:rStyle w:val="InstructionsTabelleberschrift"/>
                <w:rFonts w:ascii="Times New Roman" w:hAnsi="Times New Roman"/>
                <w:b w:val="0"/>
                <w:bCs/>
                <w:sz w:val="22"/>
                <w:u w:val="none"/>
                <w:lang w:val="en-GB"/>
              </w:rPr>
              <w:t>The own funds amount, as reported in row 00</w:t>
            </w:r>
            <w:r w:rsidR="00154FFC" w:rsidRPr="00CC1FCD">
              <w:rPr>
                <w:rStyle w:val="InstructionsTabelleberschrift"/>
                <w:rFonts w:ascii="Times New Roman" w:hAnsi="Times New Roman"/>
                <w:b w:val="0"/>
                <w:bCs/>
                <w:sz w:val="22"/>
                <w:u w:val="none"/>
                <w:lang w:val="en-GB"/>
              </w:rPr>
              <w:t>4</w:t>
            </w:r>
            <w:r w:rsidRPr="00CC1FCD">
              <w:rPr>
                <w:rStyle w:val="InstructionsTabelleberschrift"/>
                <w:rFonts w:ascii="Times New Roman" w:hAnsi="Times New Roman"/>
                <w:b w:val="0"/>
                <w:bCs/>
                <w:sz w:val="22"/>
                <w:u w:val="none"/>
                <w:lang w:val="en-GB"/>
              </w:rPr>
              <w:t>0 of this template, divided by the average amount of the reserve of assets, as defined under Article 36 of Regulation (EU) 2023/1114 and</w:t>
            </w:r>
            <w:r w:rsidR="00467D41" w:rsidRPr="00CC1FCD">
              <w:rPr>
                <w:rStyle w:val="InstructionsTabelleberschrift"/>
                <w:rFonts w:ascii="Times New Roman" w:hAnsi="Times New Roman"/>
                <w:b w:val="0"/>
                <w:bCs/>
                <w:sz w:val="22"/>
                <w:u w:val="none"/>
                <w:lang w:val="en-GB"/>
              </w:rPr>
              <w:t xml:space="preserve"> regulatory standards adopted by the Commission pursuant to Article 36(4) of Regulation (EU) 2023/1114</w:t>
            </w:r>
            <w:r w:rsidRPr="00CC1FCD">
              <w:rPr>
                <w:rStyle w:val="InstructionsTabelleberschrift"/>
                <w:rFonts w:ascii="Times New Roman" w:hAnsi="Times New Roman"/>
                <w:b w:val="0"/>
                <w:bCs/>
                <w:sz w:val="22"/>
                <w:u w:val="none"/>
                <w:lang w:val="en-GB"/>
              </w:rPr>
              <w:t>.</w:t>
            </w:r>
          </w:p>
          <w:p w14:paraId="21E3D8A4" w14:textId="7651F135" w:rsidR="00163E6F" w:rsidRPr="00CC1FCD" w:rsidRDefault="00163E6F" w:rsidP="00C76F31">
            <w:pPr>
              <w:pStyle w:val="InstructionsText"/>
              <w:rPr>
                <w:rStyle w:val="FormatvorlageInstructionsTabelleText"/>
                <w:rFonts w:ascii="Times New Roman" w:hAnsi="Times New Roman"/>
                <w:b/>
                <w:sz w:val="22"/>
                <w:lang w:val="en-GB"/>
              </w:rPr>
            </w:pPr>
            <w:r w:rsidRPr="00CC1FCD">
              <w:rPr>
                <w:rStyle w:val="InstructionsTabelleberschrift"/>
                <w:rFonts w:ascii="Times New Roman" w:hAnsi="Times New Roman"/>
                <w:b w:val="0"/>
                <w:bCs/>
                <w:sz w:val="22"/>
                <w:u w:val="none"/>
                <w:lang w:val="en-GB"/>
              </w:rPr>
              <w:t>The average amount of the reserve of assets to be calculated following the specifications provided in Article 35(1) of Regulation (EU) 2023/1114, as [</w:t>
            </w:r>
            <w:r w:rsidR="001F38A0">
              <w:rPr>
                <w:rStyle w:val="InstructionsTabelleberschrift"/>
                <w:rFonts w:ascii="Times New Roman" w:hAnsi="Times New Roman"/>
                <w:b w:val="0"/>
                <w:bCs/>
                <w:sz w:val="22"/>
                <w:u w:val="none"/>
                <w:lang w:val="en-GB"/>
              </w:rPr>
              <w:t>‘</w:t>
            </w:r>
            <w:r w:rsidRPr="00CC1FCD">
              <w:rPr>
                <w:rStyle w:val="InstructionsTabelleberschrift"/>
                <w:rFonts w:ascii="Times New Roman" w:hAnsi="Times New Roman"/>
                <w:b w:val="0"/>
                <w:bCs/>
                <w:sz w:val="22"/>
                <w:u w:val="none"/>
                <w:lang w:val="en-GB"/>
              </w:rPr>
              <w:t>…</w:t>
            </w:r>
            <w:r w:rsidRPr="00CC1FCD">
              <w:rPr>
                <w:rStyle w:val="InstructionsTabelleberschrift"/>
                <w:rFonts w:ascii="Times New Roman" w:hAnsi="Times New Roman"/>
                <w:b w:val="0"/>
                <w:bCs/>
                <w:i/>
                <w:iCs/>
                <w:sz w:val="22"/>
                <w:u w:val="none"/>
                <w:lang w:val="en-GB"/>
              </w:rPr>
              <w:t xml:space="preserve">the average amount of the reserve of assets </w:t>
            </w:r>
            <w:r w:rsidR="004E670D" w:rsidRPr="00CC1FCD">
              <w:rPr>
                <w:rStyle w:val="InstructionsTabelleberschrift"/>
                <w:rFonts w:ascii="Times New Roman" w:hAnsi="Times New Roman"/>
                <w:b w:val="0"/>
                <w:bCs/>
                <w:i/>
                <w:iCs/>
                <w:sz w:val="22"/>
                <w:u w:val="none"/>
                <w:lang w:val="en-GB"/>
              </w:rPr>
              <w:t>should</w:t>
            </w:r>
            <w:r w:rsidRPr="00CC1FCD">
              <w:rPr>
                <w:rStyle w:val="InstructionsTabelleberschrift"/>
                <w:rFonts w:ascii="Times New Roman" w:hAnsi="Times New Roman"/>
                <w:b w:val="0"/>
                <w:bCs/>
                <w:i/>
                <w:iCs/>
                <w:sz w:val="22"/>
                <w:u w:val="none"/>
                <w:lang w:val="en-GB"/>
              </w:rPr>
              <w:t xml:space="preserve"> mean the average amount of the reserve assets at the end of each calendar day, calculated over the preceding six months</w:t>
            </w:r>
            <w:r w:rsidR="001F38A0">
              <w:rPr>
                <w:rStyle w:val="InstructionsTabelleberschrift"/>
                <w:rFonts w:ascii="Times New Roman" w:hAnsi="Times New Roman"/>
                <w:b w:val="0"/>
                <w:bCs/>
                <w:sz w:val="22"/>
                <w:u w:val="none"/>
                <w:lang w:val="en-GB"/>
              </w:rPr>
              <w:t>’</w:t>
            </w:r>
            <w:r w:rsidRPr="00CC1FCD">
              <w:rPr>
                <w:rStyle w:val="InstructionsTabelleberschrift"/>
                <w:rFonts w:ascii="Times New Roman" w:hAnsi="Times New Roman"/>
                <w:b w:val="0"/>
                <w:bCs/>
                <w:sz w:val="22"/>
                <w:u w:val="none"/>
                <w:lang w:val="en-GB"/>
              </w:rPr>
              <w:t>].</w:t>
            </w:r>
          </w:p>
        </w:tc>
      </w:tr>
    </w:tbl>
    <w:p w14:paraId="4EE5C5F6" w14:textId="409F7CBC" w:rsidR="003C71A3" w:rsidRPr="00CC1FCD" w:rsidRDefault="003C71A3" w:rsidP="00E91F4B">
      <w:pPr>
        <w:pStyle w:val="Instructionsberschrift2"/>
        <w:numPr>
          <w:ilvl w:val="0"/>
          <w:numId w:val="13"/>
        </w:numPr>
        <w:rPr>
          <w:sz w:val="22"/>
          <w:szCs w:val="22"/>
        </w:rPr>
      </w:pPr>
      <w:bookmarkStart w:id="35" w:name="_Toc166751214"/>
      <w:bookmarkStart w:id="36" w:name="_Toc181699802"/>
      <w:bookmarkStart w:id="37" w:name="_Toc184211445"/>
      <w:r w:rsidRPr="00CC1FCD">
        <w:rPr>
          <w:sz w:val="22"/>
          <w:szCs w:val="22"/>
        </w:rPr>
        <w:t xml:space="preserve">General remarks on </w:t>
      </w:r>
      <w:r w:rsidR="001F38A0">
        <w:rPr>
          <w:sz w:val="22"/>
          <w:szCs w:val="22"/>
        </w:rPr>
        <w:t>t</w:t>
      </w:r>
      <w:r w:rsidRPr="00CC1FCD">
        <w:rPr>
          <w:sz w:val="22"/>
          <w:szCs w:val="22"/>
        </w:rPr>
        <w:t xml:space="preserve">emplate </w:t>
      </w:r>
      <w:bookmarkEnd w:id="35"/>
      <w:r w:rsidR="00DE2031" w:rsidRPr="00CC1FCD">
        <w:rPr>
          <w:sz w:val="22"/>
          <w:szCs w:val="22"/>
        </w:rPr>
        <w:t>S 09.02</w:t>
      </w:r>
      <w:bookmarkEnd w:id="36"/>
      <w:bookmarkEnd w:id="37"/>
    </w:p>
    <w:p w14:paraId="5FE850F9" w14:textId="5DBBB4DE" w:rsidR="003C71A3" w:rsidRPr="00CC1FCD" w:rsidRDefault="003C71A3" w:rsidP="00C76F31">
      <w:pPr>
        <w:pStyle w:val="InstructionsText2"/>
        <w:rPr>
          <w:lang w:val="en-GB"/>
        </w:rPr>
      </w:pPr>
      <w:r w:rsidRPr="00CC1FCD">
        <w:rPr>
          <w:lang w:val="en-GB"/>
        </w:rPr>
        <w:t xml:space="preserve">Template </w:t>
      </w:r>
      <w:r w:rsidR="00DE2031" w:rsidRPr="00CC1FCD">
        <w:rPr>
          <w:lang w:val="en-GB"/>
        </w:rPr>
        <w:t>S 09.02</w:t>
      </w:r>
      <w:r w:rsidRPr="00CC1FCD">
        <w:rPr>
          <w:lang w:val="en-GB"/>
        </w:rPr>
        <w:t xml:space="preserve">, where applicable in accordance with the requirements set out in Articles 35 and 58 of Regulation (EU) 2023/1114, contains issuers` Common Equity Tier 1 composition of their </w:t>
      </w:r>
      <w:r w:rsidR="00154FFC" w:rsidRPr="00CC1FCD">
        <w:rPr>
          <w:lang w:val="en-GB"/>
        </w:rPr>
        <w:t xml:space="preserve">available </w:t>
      </w:r>
      <w:r w:rsidRPr="00CC1FCD">
        <w:rPr>
          <w:lang w:val="en-GB"/>
        </w:rPr>
        <w:t>own funds amount related to the token in scope of the reporting.</w:t>
      </w:r>
      <w:r w:rsidR="00D74A68" w:rsidRPr="00CC1FCD">
        <w:rPr>
          <w:lang w:val="en-GB"/>
        </w:rPr>
        <w:t xml:space="preserve"> The issuers in scope of this template are issuers of asset-referenced tokens, electronic money institutions issuing significant e-money tokens and, where it </w:t>
      </w:r>
      <w:r w:rsidR="001F38A0">
        <w:rPr>
          <w:lang w:val="en-GB"/>
        </w:rPr>
        <w:t xml:space="preserve">is </w:t>
      </w:r>
      <w:r w:rsidR="00D74A68" w:rsidRPr="00CC1FCD">
        <w:rPr>
          <w:lang w:val="en-GB"/>
        </w:rPr>
        <w:t>required by the competent authority following Article 58(2) of Regulation (EU) 2023/1114, electronic money institutions issuing non-significant e-money tokens.</w:t>
      </w:r>
    </w:p>
    <w:p w14:paraId="6E7752CC" w14:textId="5304CEA8" w:rsidR="003C71A3" w:rsidRPr="00CC1FCD" w:rsidRDefault="003C71A3" w:rsidP="00E91F4B">
      <w:pPr>
        <w:pStyle w:val="Instructionsberschrift2"/>
        <w:numPr>
          <w:ilvl w:val="0"/>
          <w:numId w:val="13"/>
        </w:numPr>
        <w:rPr>
          <w:sz w:val="22"/>
          <w:szCs w:val="22"/>
        </w:rPr>
      </w:pPr>
      <w:bookmarkStart w:id="38" w:name="_Toc166751215"/>
      <w:bookmarkStart w:id="39" w:name="_Toc181699803"/>
      <w:bookmarkStart w:id="40" w:name="_Toc184211446"/>
      <w:r w:rsidRPr="00CC1FCD">
        <w:rPr>
          <w:sz w:val="22"/>
          <w:szCs w:val="22"/>
        </w:rPr>
        <w:t xml:space="preserve">Instructions concerning specific positions of </w:t>
      </w:r>
      <w:r w:rsidR="001F38A0">
        <w:rPr>
          <w:sz w:val="22"/>
          <w:szCs w:val="22"/>
        </w:rPr>
        <w:t>t</w:t>
      </w:r>
      <w:r w:rsidRPr="00CC1FCD">
        <w:rPr>
          <w:sz w:val="22"/>
          <w:szCs w:val="22"/>
        </w:rPr>
        <w:t xml:space="preserve">emplate </w:t>
      </w:r>
      <w:bookmarkEnd w:id="38"/>
      <w:r w:rsidR="00DE2031" w:rsidRPr="00CC1FCD">
        <w:rPr>
          <w:sz w:val="22"/>
          <w:szCs w:val="22"/>
        </w:rPr>
        <w:t>S 09.02</w:t>
      </w:r>
      <w:bookmarkEnd w:id="39"/>
      <w:bookmarkEnd w:id="4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C71A3" w:rsidRPr="00CC1FCD" w14:paraId="772E1155" w14:textId="77777777" w:rsidTr="00CC1FCD">
        <w:tc>
          <w:tcPr>
            <w:tcW w:w="1129" w:type="dxa"/>
            <w:shd w:val="clear" w:color="auto" w:fill="D9D9D9" w:themeFill="background1" w:themeFillShade="D9"/>
          </w:tcPr>
          <w:p w14:paraId="72B03CFD" w14:textId="77777777" w:rsidR="003C71A3" w:rsidRPr="00CC1FCD" w:rsidRDefault="003C71A3" w:rsidP="00C76F31">
            <w:pPr>
              <w:pStyle w:val="InstructionsText"/>
              <w:rPr>
                <w:rStyle w:val="InstructionsTabelleText"/>
                <w:rFonts w:ascii="Times New Roman" w:hAnsi="Times New Roman"/>
                <w:sz w:val="22"/>
                <w:lang w:val="en-GB" w:eastAsia="en-US"/>
              </w:rPr>
            </w:pPr>
            <w:r w:rsidRPr="00CC1FCD">
              <w:rPr>
                <w:rStyle w:val="InstructionsTabelleText"/>
                <w:rFonts w:ascii="Times New Roman" w:hAnsi="Times New Roman"/>
                <w:sz w:val="22"/>
                <w:lang w:val="en-GB"/>
              </w:rPr>
              <w:t>Row</w:t>
            </w:r>
          </w:p>
        </w:tc>
        <w:tc>
          <w:tcPr>
            <w:tcW w:w="7620" w:type="dxa"/>
            <w:shd w:val="clear" w:color="auto" w:fill="D9D9D9" w:themeFill="background1" w:themeFillShade="D9"/>
          </w:tcPr>
          <w:p w14:paraId="6E20B0DD" w14:textId="77777777" w:rsidR="003C71A3" w:rsidRPr="00CC1FCD" w:rsidRDefault="003C71A3"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Legal references and instructions</w:t>
            </w:r>
          </w:p>
        </w:tc>
      </w:tr>
      <w:tr w:rsidR="003C71A3" w:rsidRPr="00CC1FCD" w14:paraId="28551FDE" w14:textId="77777777" w:rsidTr="00CC1FCD">
        <w:tc>
          <w:tcPr>
            <w:tcW w:w="1129" w:type="dxa"/>
          </w:tcPr>
          <w:p w14:paraId="3D5BDE3E"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0010</w:t>
            </w:r>
          </w:p>
        </w:tc>
        <w:tc>
          <w:tcPr>
            <w:tcW w:w="7620" w:type="dxa"/>
          </w:tcPr>
          <w:p w14:paraId="0869CDD0" w14:textId="4693D8C5" w:rsidR="003C71A3" w:rsidRPr="00CC1FCD" w:rsidRDefault="003C71A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C</w:t>
            </w:r>
            <w:r w:rsidR="001F38A0">
              <w:rPr>
                <w:rStyle w:val="InstructionsTabelleberschrift"/>
                <w:rFonts w:ascii="Times New Roman" w:hAnsi="Times New Roman"/>
                <w:sz w:val="22"/>
                <w:lang w:val="en-GB"/>
              </w:rPr>
              <w:t>ommon</w:t>
            </w:r>
            <w:r w:rsidRPr="00CC1FCD">
              <w:rPr>
                <w:rStyle w:val="InstructionsTabelleberschrift"/>
                <w:rFonts w:ascii="Times New Roman" w:hAnsi="Times New Roman"/>
                <w:sz w:val="22"/>
                <w:lang w:val="en-GB"/>
              </w:rPr>
              <w:t xml:space="preserve"> E</w:t>
            </w:r>
            <w:r w:rsidR="001F38A0">
              <w:rPr>
                <w:rStyle w:val="InstructionsTabelleberschrift"/>
                <w:rFonts w:ascii="Times New Roman" w:hAnsi="Times New Roman"/>
                <w:sz w:val="22"/>
                <w:lang w:val="en-GB"/>
              </w:rPr>
              <w:t>quity</w:t>
            </w:r>
            <w:r w:rsidRPr="00CC1FCD">
              <w:rPr>
                <w:rStyle w:val="InstructionsTabelleberschrift"/>
                <w:rFonts w:ascii="Times New Roman" w:hAnsi="Times New Roman"/>
                <w:sz w:val="22"/>
                <w:lang w:val="en-GB"/>
              </w:rPr>
              <w:t xml:space="preserve"> T</w:t>
            </w:r>
            <w:r w:rsidR="001F38A0">
              <w:rPr>
                <w:rStyle w:val="InstructionsTabelleberschrift"/>
                <w:rFonts w:ascii="Times New Roman" w:hAnsi="Times New Roman"/>
                <w:sz w:val="22"/>
                <w:lang w:val="en-GB"/>
              </w:rPr>
              <w:t>ier</w:t>
            </w:r>
            <w:r w:rsidRPr="00CC1FCD">
              <w:rPr>
                <w:rStyle w:val="InstructionsTabelleberschrift"/>
                <w:rFonts w:ascii="Times New Roman" w:hAnsi="Times New Roman"/>
                <w:sz w:val="22"/>
                <w:lang w:val="en-GB"/>
              </w:rPr>
              <w:t xml:space="preserve"> 1 </w:t>
            </w:r>
            <w:r w:rsidR="001F38A0">
              <w:rPr>
                <w:rStyle w:val="InstructionsTabelleberschrift"/>
                <w:rFonts w:ascii="Times New Roman" w:hAnsi="Times New Roman"/>
                <w:sz w:val="22"/>
                <w:lang w:val="en-GB"/>
              </w:rPr>
              <w:t>capital</w:t>
            </w:r>
          </w:p>
          <w:p w14:paraId="5E095D82" w14:textId="1676F647"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In line with Article 35(2) of Regulation (EU) 2023/1114, the Common Equity Tier 1 capital in accordance with Articles 26 to 30 of Regulation (EU) </w:t>
            </w:r>
            <w:r w:rsidR="003F34B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w:t>
            </w:r>
            <w:r w:rsidR="00FF3D57" w:rsidRPr="00CC1FCD">
              <w:rPr>
                <w:rStyle w:val="InstructionsTabelleberschrift"/>
                <w:rFonts w:ascii="Times New Roman" w:hAnsi="Times New Roman"/>
                <w:b w:val="0"/>
                <w:bCs/>
                <w:sz w:val="22"/>
                <w:u w:val="none"/>
                <w:lang w:val="en-GB"/>
              </w:rPr>
              <w:t xml:space="preserve"> </w:t>
            </w:r>
            <w:r w:rsidR="001D4C68" w:rsidRPr="00CC1FCD">
              <w:rPr>
                <w:rStyle w:val="InstructionsTabelleberschrift"/>
                <w:rFonts w:ascii="Times New Roman" w:hAnsi="Times New Roman"/>
                <w:b w:val="0"/>
                <w:bCs/>
                <w:sz w:val="22"/>
                <w:u w:val="none"/>
                <w:lang w:val="en-GB"/>
              </w:rPr>
              <w:t>(C</w:t>
            </w:r>
            <w:r w:rsidR="00FF3D57" w:rsidRPr="00CC1FCD">
              <w:rPr>
                <w:rStyle w:val="InstructionsTabelleberschrift"/>
                <w:rFonts w:ascii="Times New Roman" w:hAnsi="Times New Roman"/>
                <w:b w:val="0"/>
                <w:bCs/>
                <w:sz w:val="22"/>
                <w:u w:val="none"/>
                <w:lang w:val="en-GB"/>
              </w:rPr>
              <w:t>RR)</w:t>
            </w:r>
            <w:r w:rsidR="00424A6F" w:rsidRPr="00CC1FCD">
              <w:rPr>
                <w:rStyle w:val="FootnoteReference"/>
                <w:b/>
                <w:bCs w:val="0"/>
                <w:lang w:val="en-GB"/>
              </w:rPr>
              <w:footnoteReference w:id="3"/>
            </w:r>
            <w:r w:rsidRPr="00CC1FCD">
              <w:rPr>
                <w:rStyle w:val="InstructionsTabelleberschrift"/>
                <w:rFonts w:ascii="Times New Roman" w:hAnsi="Times New Roman"/>
                <w:b w:val="0"/>
                <w:bCs/>
                <w:sz w:val="22"/>
                <w:u w:val="none"/>
                <w:lang w:val="en-GB"/>
              </w:rPr>
              <w:t>. This item to be reported in this row without any deductions.</w:t>
            </w:r>
            <w:r w:rsidRPr="00CC1FCD">
              <w:rPr>
                <w:rStyle w:val="InstructionsTabelleberschrift"/>
                <w:rFonts w:ascii="Times New Roman" w:hAnsi="Times New Roman"/>
                <w:b w:val="0"/>
                <w:bCs/>
                <w:sz w:val="22"/>
                <w:lang w:val="en-GB"/>
              </w:rPr>
              <w:t xml:space="preserve"> </w:t>
            </w:r>
          </w:p>
        </w:tc>
      </w:tr>
      <w:tr w:rsidR="003C71A3" w:rsidRPr="00CC1FCD" w14:paraId="4E9EE26F" w14:textId="77777777" w:rsidTr="00CC1FCD">
        <w:tc>
          <w:tcPr>
            <w:tcW w:w="1129" w:type="dxa"/>
          </w:tcPr>
          <w:p w14:paraId="64B440BE"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0020</w:t>
            </w:r>
          </w:p>
        </w:tc>
        <w:tc>
          <w:tcPr>
            <w:tcW w:w="7620" w:type="dxa"/>
          </w:tcPr>
          <w:p w14:paraId="7224A298" w14:textId="30EFE27F" w:rsidR="003C71A3" w:rsidRPr="00CC1FCD" w:rsidRDefault="003C71A3" w:rsidP="00C76F31">
            <w:pPr>
              <w:pStyle w:val="InstructionsText"/>
              <w:rPr>
                <w:rStyle w:val="InstructionsTabelleberschrift"/>
                <w:rFonts w:ascii="Times New Roman" w:hAnsi="Times New Roman"/>
                <w:sz w:val="22"/>
                <w:lang w:val="en-GB"/>
              </w:rPr>
            </w:pPr>
            <w:r w:rsidRPr="002C29A7">
              <w:rPr>
                <w:rStyle w:val="InstructionsTabelleberschrift"/>
                <w:rFonts w:ascii="Times New Roman" w:hAnsi="Times New Roman"/>
                <w:sz w:val="22"/>
                <w:u w:val="none"/>
                <w:lang w:val="en-GB"/>
              </w:rPr>
              <w:t xml:space="preserve">    </w:t>
            </w:r>
            <w:r w:rsidRPr="00CC1FCD">
              <w:rPr>
                <w:rStyle w:val="InstructionsTabelleberschrift"/>
                <w:rFonts w:ascii="Times New Roman" w:hAnsi="Times New Roman"/>
                <w:sz w:val="22"/>
                <w:lang w:val="en-GB"/>
              </w:rPr>
              <w:t xml:space="preserve">Capital instruments eligible as CET1 </w:t>
            </w:r>
            <w:r w:rsidR="001F38A0">
              <w:rPr>
                <w:rStyle w:val="InstructionsTabelleberschrift"/>
                <w:rFonts w:ascii="Times New Roman" w:hAnsi="Times New Roman"/>
                <w:sz w:val="22"/>
                <w:lang w:val="en-GB"/>
              </w:rPr>
              <w:t>c</w:t>
            </w:r>
            <w:r w:rsidRPr="00CC1FCD">
              <w:rPr>
                <w:rStyle w:val="InstructionsTabelleberschrift"/>
                <w:rFonts w:ascii="Times New Roman" w:hAnsi="Times New Roman"/>
                <w:sz w:val="22"/>
                <w:lang w:val="en-GB"/>
              </w:rPr>
              <w:t>apital</w:t>
            </w:r>
          </w:p>
          <w:p w14:paraId="027E9ECD" w14:textId="17B91DAC"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In line with Article 35(2) of Regulation (EU) 2023/1114, the capital instruments eligible as CET1 capital in accordance with Articles 26 to 30 of Regulation (EU) </w:t>
            </w:r>
            <w:r w:rsidR="003F34B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This item to be reported in this row without any deductions.</w:t>
            </w:r>
          </w:p>
        </w:tc>
      </w:tr>
      <w:tr w:rsidR="003C71A3" w:rsidRPr="00CC1FCD" w14:paraId="27008CC6" w14:textId="77777777" w:rsidTr="00CC1FCD">
        <w:tc>
          <w:tcPr>
            <w:tcW w:w="1129" w:type="dxa"/>
          </w:tcPr>
          <w:p w14:paraId="40618C80"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0030</w:t>
            </w:r>
          </w:p>
        </w:tc>
        <w:tc>
          <w:tcPr>
            <w:tcW w:w="7620" w:type="dxa"/>
          </w:tcPr>
          <w:p w14:paraId="7957E29D" w14:textId="77777777" w:rsidR="003C71A3" w:rsidRPr="00CC1FCD" w:rsidRDefault="003C71A3" w:rsidP="00C76F31">
            <w:pPr>
              <w:pStyle w:val="InstructionsText"/>
              <w:rPr>
                <w:rStyle w:val="InstructionsTabelleberschrift"/>
                <w:rFonts w:ascii="Times New Roman" w:hAnsi="Times New Roman"/>
                <w:sz w:val="22"/>
                <w:lang w:val="en-GB"/>
              </w:rPr>
            </w:pPr>
            <w:r w:rsidRPr="002C29A7">
              <w:rPr>
                <w:rStyle w:val="InstructionsTabelleberschrift"/>
                <w:rFonts w:ascii="Times New Roman" w:hAnsi="Times New Roman"/>
                <w:sz w:val="22"/>
                <w:u w:val="none"/>
                <w:lang w:val="en-GB"/>
              </w:rPr>
              <w:t xml:space="preserve">    </w:t>
            </w:r>
            <w:r w:rsidRPr="00CC1FCD">
              <w:rPr>
                <w:rStyle w:val="InstructionsTabelleberschrift"/>
                <w:rFonts w:ascii="Times New Roman" w:hAnsi="Times New Roman"/>
                <w:sz w:val="22"/>
                <w:lang w:val="en-GB"/>
              </w:rPr>
              <w:t>Retained earnings</w:t>
            </w:r>
          </w:p>
          <w:p w14:paraId="3B9D9241" w14:textId="1537C10B"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In line with Article 35(2) of Regulation (EU) 2023/1114, the retained earnings in accordance with Articles 26 to 30 of Regulation (EU) </w:t>
            </w:r>
            <w:r w:rsidR="00CD1C6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This item to be reported in this row without any deductions.</w:t>
            </w:r>
          </w:p>
        </w:tc>
      </w:tr>
      <w:tr w:rsidR="003C71A3" w:rsidRPr="00CC1FCD" w14:paraId="5BE5988F" w14:textId="77777777" w:rsidTr="00CC1FCD">
        <w:tc>
          <w:tcPr>
            <w:tcW w:w="1129" w:type="dxa"/>
          </w:tcPr>
          <w:p w14:paraId="5B255481"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0040</w:t>
            </w:r>
          </w:p>
        </w:tc>
        <w:tc>
          <w:tcPr>
            <w:tcW w:w="7620" w:type="dxa"/>
          </w:tcPr>
          <w:p w14:paraId="4227CB21" w14:textId="77777777" w:rsidR="003C71A3" w:rsidRPr="00CC1FCD" w:rsidRDefault="003C71A3" w:rsidP="00C76F31">
            <w:pPr>
              <w:pStyle w:val="InstructionsText"/>
              <w:rPr>
                <w:rStyle w:val="InstructionsTabelleberschrift"/>
                <w:rFonts w:ascii="Times New Roman" w:hAnsi="Times New Roman"/>
                <w:sz w:val="22"/>
                <w:lang w:val="en-GB"/>
              </w:rPr>
            </w:pPr>
            <w:r w:rsidRPr="002C29A7">
              <w:rPr>
                <w:rStyle w:val="InstructionsTabelleberschrift"/>
                <w:rFonts w:ascii="Times New Roman" w:hAnsi="Times New Roman"/>
                <w:sz w:val="22"/>
                <w:u w:val="none"/>
                <w:lang w:val="en-GB"/>
              </w:rPr>
              <w:t xml:space="preserve">    </w:t>
            </w:r>
            <w:r w:rsidRPr="00CC1FCD">
              <w:rPr>
                <w:rStyle w:val="InstructionsTabelleberschrift"/>
                <w:rFonts w:ascii="Times New Roman" w:hAnsi="Times New Roman"/>
                <w:sz w:val="22"/>
                <w:lang w:val="en-GB"/>
              </w:rPr>
              <w:t>Accumulated other comprehensive income</w:t>
            </w:r>
          </w:p>
          <w:p w14:paraId="0BA88AE8" w14:textId="7E0DCE27"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lastRenderedPageBreak/>
              <w:t xml:space="preserve">In line with Article 35(2) of Regulation (EU) 2023/1114, the accumulated other comprehensive income in accordance with Articles 26 to 30 of Regulation (EU) </w:t>
            </w:r>
            <w:r w:rsidR="00CD1C6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This item to be reported in this row without any deductions.</w:t>
            </w:r>
          </w:p>
        </w:tc>
      </w:tr>
      <w:tr w:rsidR="003C71A3" w:rsidRPr="00CC1FCD" w14:paraId="66D66E2D" w14:textId="77777777" w:rsidTr="00CC1FCD">
        <w:tc>
          <w:tcPr>
            <w:tcW w:w="1129" w:type="dxa"/>
          </w:tcPr>
          <w:p w14:paraId="121A7B39"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lastRenderedPageBreak/>
              <w:t>0050</w:t>
            </w:r>
          </w:p>
        </w:tc>
        <w:tc>
          <w:tcPr>
            <w:tcW w:w="7620" w:type="dxa"/>
          </w:tcPr>
          <w:p w14:paraId="1CF5E1F2" w14:textId="77777777" w:rsidR="003C71A3" w:rsidRPr="00CC1FCD" w:rsidRDefault="003C71A3" w:rsidP="00C76F31">
            <w:pPr>
              <w:pStyle w:val="InstructionsText"/>
              <w:rPr>
                <w:rStyle w:val="InstructionsTabelleberschrift"/>
                <w:rFonts w:ascii="Times New Roman" w:hAnsi="Times New Roman"/>
                <w:sz w:val="22"/>
                <w:lang w:val="en-GB"/>
              </w:rPr>
            </w:pPr>
            <w:r w:rsidRPr="002C29A7">
              <w:rPr>
                <w:rStyle w:val="InstructionsTabelleberschrift"/>
                <w:rFonts w:ascii="Times New Roman" w:hAnsi="Times New Roman"/>
                <w:sz w:val="22"/>
                <w:u w:val="none"/>
                <w:lang w:val="en-GB"/>
              </w:rPr>
              <w:t xml:space="preserve">    </w:t>
            </w:r>
            <w:r w:rsidRPr="00CC1FCD">
              <w:rPr>
                <w:rStyle w:val="InstructionsTabelleberschrift"/>
                <w:rFonts w:ascii="Times New Roman" w:hAnsi="Times New Roman"/>
                <w:sz w:val="22"/>
                <w:lang w:val="en-GB"/>
              </w:rPr>
              <w:t>Other reserves</w:t>
            </w:r>
          </w:p>
          <w:p w14:paraId="1FE9C926" w14:textId="0ED28A88"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 xml:space="preserve">In line with Article 35(2) of Regulation (EU) 2023/1114, other reserves in accordance with Articles 26 to 30 of Regulation (EU) </w:t>
            </w:r>
            <w:r w:rsidR="00CD1C6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This item to be reported in this row without any deductions.</w:t>
            </w:r>
          </w:p>
        </w:tc>
      </w:tr>
      <w:tr w:rsidR="003C71A3" w:rsidRPr="00CC1FCD" w14:paraId="5FCFCAAA" w14:textId="77777777" w:rsidTr="00CC1FCD">
        <w:tc>
          <w:tcPr>
            <w:tcW w:w="1129" w:type="dxa"/>
          </w:tcPr>
          <w:p w14:paraId="4B4D971A"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0060</w:t>
            </w:r>
          </w:p>
        </w:tc>
        <w:tc>
          <w:tcPr>
            <w:tcW w:w="7620" w:type="dxa"/>
          </w:tcPr>
          <w:p w14:paraId="7AAAA9B7" w14:textId="77777777" w:rsidR="003C71A3" w:rsidRPr="00CC1FCD" w:rsidRDefault="003C71A3" w:rsidP="00C76F31">
            <w:pPr>
              <w:pStyle w:val="InstructionsText"/>
              <w:rPr>
                <w:rStyle w:val="InstructionsTabelleberschrift"/>
                <w:rFonts w:ascii="Times New Roman" w:hAnsi="Times New Roman"/>
                <w:sz w:val="22"/>
                <w:lang w:val="en-GB"/>
              </w:rPr>
            </w:pPr>
            <w:r w:rsidRPr="002C29A7">
              <w:rPr>
                <w:rStyle w:val="InstructionsTabelleberschrift"/>
                <w:rFonts w:ascii="Times New Roman" w:hAnsi="Times New Roman"/>
                <w:sz w:val="22"/>
                <w:u w:val="none"/>
                <w:lang w:val="en-GB"/>
              </w:rPr>
              <w:t xml:space="preserve">    </w:t>
            </w:r>
            <w:r w:rsidRPr="00CC1FCD">
              <w:rPr>
                <w:rStyle w:val="InstructionsTabelleberschrift"/>
                <w:rFonts w:ascii="Times New Roman" w:hAnsi="Times New Roman"/>
                <w:sz w:val="22"/>
                <w:lang w:val="en-GB"/>
              </w:rPr>
              <w:t>Any other eligible funds</w:t>
            </w:r>
          </w:p>
          <w:p w14:paraId="003DD98E" w14:textId="7DD0EF4F" w:rsidR="003C71A3" w:rsidRPr="00CC1FCD" w:rsidRDefault="003C71A3" w:rsidP="00C76F31">
            <w:pPr>
              <w:pStyle w:val="InstructionsText"/>
              <w:rPr>
                <w:rStyle w:val="InstructionsTabelleberschrift"/>
                <w:rFonts w:ascii="Times New Roman" w:hAnsi="Times New Roman"/>
                <w:b w:val="0"/>
                <w:bCs/>
                <w:sz w:val="22"/>
                <w:lang w:val="en-GB"/>
              </w:rPr>
            </w:pPr>
            <w:r w:rsidRPr="00CC1FCD">
              <w:rPr>
                <w:rStyle w:val="InstructionsTabelleberschrift"/>
                <w:rFonts w:ascii="Times New Roman" w:hAnsi="Times New Roman"/>
                <w:b w:val="0"/>
                <w:bCs/>
                <w:sz w:val="22"/>
                <w:u w:val="none"/>
                <w:lang w:val="en-GB"/>
              </w:rPr>
              <w:t>In line with Article 35(2) of Regulation (EU) 2023/1114, any other eligible funds not reported already in rows 0020</w:t>
            </w:r>
            <w:r w:rsidR="00F50FA7">
              <w:rPr>
                <w:rStyle w:val="InstructionsTabelleberschrift"/>
                <w:rFonts w:ascii="Times New Roman" w:hAnsi="Times New Roman"/>
                <w:b w:val="0"/>
                <w:bCs/>
                <w:sz w:val="22"/>
                <w:u w:val="none"/>
                <w:lang w:val="en-GB"/>
              </w:rPr>
              <w:t>–</w:t>
            </w:r>
            <w:r w:rsidRPr="00CC1FCD">
              <w:rPr>
                <w:rStyle w:val="InstructionsTabelleberschrift"/>
                <w:rFonts w:ascii="Times New Roman" w:hAnsi="Times New Roman"/>
                <w:b w:val="0"/>
                <w:bCs/>
                <w:sz w:val="22"/>
                <w:u w:val="none"/>
                <w:lang w:val="en-GB"/>
              </w:rPr>
              <w:t xml:space="preserve">0050 of this template in accordance with Articles 26 to 30 of Regulation (EU) </w:t>
            </w:r>
            <w:r w:rsidR="00CD1C6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This item to be reported in this row without any deductions.</w:t>
            </w:r>
          </w:p>
        </w:tc>
      </w:tr>
      <w:tr w:rsidR="003C71A3" w:rsidRPr="00CC1FCD" w14:paraId="57467433" w14:textId="77777777" w:rsidTr="00CC1FCD">
        <w:tc>
          <w:tcPr>
            <w:tcW w:w="1129" w:type="dxa"/>
          </w:tcPr>
          <w:p w14:paraId="419ED0CC" w14:textId="77777777"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0070</w:t>
            </w:r>
          </w:p>
        </w:tc>
        <w:tc>
          <w:tcPr>
            <w:tcW w:w="7620" w:type="dxa"/>
          </w:tcPr>
          <w:p w14:paraId="04BCFFB3" w14:textId="77777777" w:rsidR="003C71A3" w:rsidRPr="00CC1FCD" w:rsidRDefault="003C71A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Deductions</w:t>
            </w:r>
          </w:p>
          <w:p w14:paraId="61AA247B" w14:textId="0EB237C2" w:rsidR="003C71A3" w:rsidRPr="00CC1FCD" w:rsidRDefault="003C71A3" w:rsidP="00C76F31">
            <w:pPr>
              <w:pStyle w:val="InstructionsText"/>
              <w:rPr>
                <w:rStyle w:val="InstructionsTabelleberschrift"/>
                <w:rFonts w:ascii="Times New Roman" w:hAnsi="Times New Roman"/>
                <w:b w:val="0"/>
                <w:bCs/>
                <w:sz w:val="22"/>
                <w:u w:val="none"/>
                <w:lang w:val="en-GB"/>
              </w:rPr>
            </w:pPr>
            <w:r w:rsidRPr="00CC1FCD">
              <w:rPr>
                <w:rStyle w:val="InstructionsTabelleberschrift"/>
                <w:rFonts w:ascii="Times New Roman" w:hAnsi="Times New Roman"/>
                <w:b w:val="0"/>
                <w:bCs/>
                <w:sz w:val="22"/>
                <w:u w:val="none"/>
                <w:lang w:val="en-GB"/>
              </w:rPr>
              <w:t xml:space="preserve">In line with Article 35(2) of Regulation (EU) 2023/1114, the deductions pursuant to Article 36 of Regulation (EU) </w:t>
            </w:r>
            <w:r w:rsidR="00CD1C6B" w:rsidRPr="00CC1FCD">
              <w:rPr>
                <w:rStyle w:val="InstructionsTabelleberschrift"/>
                <w:rFonts w:ascii="Times New Roman" w:hAnsi="Times New Roman"/>
                <w:b w:val="0"/>
                <w:bCs/>
                <w:sz w:val="22"/>
                <w:u w:val="none"/>
                <w:lang w:val="en-GB"/>
              </w:rPr>
              <w:t xml:space="preserve">No </w:t>
            </w:r>
            <w:r w:rsidRPr="00CC1FCD">
              <w:rPr>
                <w:rStyle w:val="InstructionsTabelleberschrift"/>
                <w:rFonts w:ascii="Times New Roman" w:hAnsi="Times New Roman"/>
                <w:b w:val="0"/>
                <w:bCs/>
                <w:sz w:val="22"/>
                <w:u w:val="none"/>
                <w:lang w:val="en-GB"/>
              </w:rPr>
              <w:t>575/2013, without the application of the threshold exemptions referred to in Article 46(4) and Article 48 of that same Regulation.</w:t>
            </w:r>
          </w:p>
        </w:tc>
      </w:tr>
    </w:tbl>
    <w:p w14:paraId="3CDA6036" w14:textId="31697C77" w:rsidR="00163E6F" w:rsidRPr="00CC1FCD" w:rsidRDefault="00163E6F" w:rsidP="00E91F4B">
      <w:pPr>
        <w:pStyle w:val="Heading2"/>
      </w:pPr>
      <w:bookmarkStart w:id="41" w:name="_Toc162339937"/>
      <w:bookmarkStart w:id="42" w:name="_Toc181699804"/>
      <w:bookmarkStart w:id="43" w:name="_Toc184211447"/>
      <w:r w:rsidRPr="00CC1FCD">
        <w:t>PART I</w:t>
      </w:r>
      <w:r w:rsidR="00E97DD2" w:rsidRPr="00CC1FCD">
        <w:t>II</w:t>
      </w:r>
      <w:r w:rsidRPr="00CC1FCD">
        <w:t>: MATURITY LADDER OF THE RESERVE OF ASSETS (</w:t>
      </w:r>
      <w:r w:rsidR="00DE2031" w:rsidRPr="00CC1FCD">
        <w:t>S 03.03</w:t>
      </w:r>
      <w:r w:rsidRPr="00CC1FCD">
        <w:t>)</w:t>
      </w:r>
      <w:bookmarkEnd w:id="41"/>
      <w:bookmarkEnd w:id="42"/>
      <w:bookmarkEnd w:id="43"/>
    </w:p>
    <w:p w14:paraId="20A9C82B" w14:textId="5379AD59" w:rsidR="00163E6F" w:rsidRPr="00CC1FCD" w:rsidRDefault="00163E6F" w:rsidP="00E91F4B">
      <w:pPr>
        <w:pStyle w:val="Instructionsberschrift2"/>
        <w:numPr>
          <w:ilvl w:val="0"/>
          <w:numId w:val="13"/>
        </w:numPr>
        <w:rPr>
          <w:sz w:val="22"/>
          <w:szCs w:val="22"/>
        </w:rPr>
      </w:pPr>
      <w:bookmarkStart w:id="44" w:name="_Toc162339938"/>
      <w:bookmarkStart w:id="45" w:name="_Toc181699805"/>
      <w:bookmarkStart w:id="46" w:name="_Toc184211448"/>
      <w:r w:rsidRPr="00CC1FCD">
        <w:rPr>
          <w:sz w:val="22"/>
          <w:szCs w:val="22"/>
        </w:rPr>
        <w:t xml:space="preserve">General remarks on </w:t>
      </w:r>
      <w:r w:rsidR="00F50FA7">
        <w:rPr>
          <w:sz w:val="22"/>
          <w:szCs w:val="22"/>
        </w:rPr>
        <w:t>t</w:t>
      </w:r>
      <w:r w:rsidRPr="00CC1FCD">
        <w:rPr>
          <w:sz w:val="22"/>
          <w:szCs w:val="22"/>
        </w:rPr>
        <w:t xml:space="preserve">emplate </w:t>
      </w:r>
      <w:bookmarkEnd w:id="44"/>
      <w:r w:rsidR="00DE2031" w:rsidRPr="00CC1FCD">
        <w:rPr>
          <w:sz w:val="22"/>
          <w:szCs w:val="22"/>
        </w:rPr>
        <w:t>S 03.03</w:t>
      </w:r>
      <w:bookmarkEnd w:id="45"/>
      <w:bookmarkEnd w:id="46"/>
    </w:p>
    <w:p w14:paraId="75CA5DCA" w14:textId="1C291BD6" w:rsidR="004E670D" w:rsidRPr="00CC1FCD" w:rsidRDefault="004E670D" w:rsidP="00C76F31">
      <w:pPr>
        <w:pStyle w:val="InstructionsText2"/>
        <w:rPr>
          <w:lang w:val="en-GB"/>
        </w:rPr>
      </w:pPr>
      <w:bookmarkStart w:id="47" w:name="_Toc162339939"/>
      <w:r w:rsidRPr="00CC1FCD">
        <w:rPr>
          <w:lang w:val="en-GB"/>
        </w:rPr>
        <w:t xml:space="preserve">Relevant assets, inflows and outflows, as described in the relevant rows of this template, should be allocated across the </w:t>
      </w:r>
      <w:proofErr w:type="gramStart"/>
      <w:r w:rsidRPr="00CC1FCD">
        <w:rPr>
          <w:lang w:val="en-GB"/>
        </w:rPr>
        <w:t>twelve time</w:t>
      </w:r>
      <w:proofErr w:type="gramEnd"/>
      <w:r w:rsidR="00F50FA7">
        <w:rPr>
          <w:lang w:val="en-GB"/>
        </w:rPr>
        <w:t xml:space="preserve"> </w:t>
      </w:r>
      <w:r w:rsidRPr="00CC1FCD">
        <w:rPr>
          <w:lang w:val="en-GB"/>
        </w:rPr>
        <w:t xml:space="preserve">buckets, as described in the relevant columns of this template, in accordance with their residual contractual maturity with respect to the reporting reference date, with days, weeks and months referring to working days, calendar weeks and calendar months, respectively. Reverse </w:t>
      </w:r>
      <w:proofErr w:type="gramStart"/>
      <w:r w:rsidRPr="00CC1FCD">
        <w:rPr>
          <w:lang w:val="en-GB"/>
        </w:rPr>
        <w:t>repurchase</w:t>
      </w:r>
      <w:proofErr w:type="gramEnd"/>
      <w:r w:rsidRPr="00CC1FCD">
        <w:rPr>
          <w:lang w:val="en-GB"/>
        </w:rPr>
        <w:t xml:space="preserve"> agreements that can be terminated and cash that can be withdrawn, by giving prior notice of the tenor corresponding to each time bucket</w:t>
      </w:r>
      <w:r w:rsidR="00F50FA7">
        <w:rPr>
          <w:lang w:val="en-GB"/>
        </w:rPr>
        <w:t>,</w:t>
      </w:r>
      <w:r w:rsidRPr="00CC1FCD">
        <w:rPr>
          <w:lang w:val="en-GB"/>
        </w:rPr>
        <w:t xml:space="preserve"> should be added therein too.</w:t>
      </w:r>
    </w:p>
    <w:p w14:paraId="6F7D12B4" w14:textId="701DAEAA" w:rsidR="004E670D" w:rsidRPr="00CC1FCD" w:rsidRDefault="004E670D" w:rsidP="00C76F31">
      <w:pPr>
        <w:pStyle w:val="InstructionsText2"/>
        <w:rPr>
          <w:lang w:val="en-GB"/>
        </w:rPr>
      </w:pPr>
      <w:r w:rsidRPr="00CC1FCD">
        <w:rPr>
          <w:lang w:val="en-GB"/>
        </w:rPr>
        <w:t xml:space="preserve">Issuers of </w:t>
      </w:r>
      <w:r w:rsidR="00FF4D4F" w:rsidRPr="00CC1FCD">
        <w:rPr>
          <w:lang w:val="en-GB"/>
        </w:rPr>
        <w:t>asset-referenced token</w:t>
      </w:r>
      <w:r w:rsidR="00125C02" w:rsidRPr="00CC1FCD">
        <w:rPr>
          <w:lang w:val="en-GB"/>
        </w:rPr>
        <w:t>s</w:t>
      </w:r>
      <w:r w:rsidR="00FF4D4F" w:rsidRPr="00CC1FCD">
        <w:rPr>
          <w:lang w:val="en-GB"/>
        </w:rPr>
        <w:t xml:space="preserve"> </w:t>
      </w:r>
      <w:r w:rsidR="00125C02" w:rsidRPr="00CC1FCD">
        <w:rPr>
          <w:lang w:val="en-GB"/>
        </w:rPr>
        <w:t>and</w:t>
      </w:r>
      <w:r w:rsidR="00FF4D4F" w:rsidRPr="00CC1FCD">
        <w:rPr>
          <w:lang w:val="en-GB"/>
        </w:rPr>
        <w:t xml:space="preserve"> e-money token</w:t>
      </w:r>
      <w:r w:rsidR="00125C02" w:rsidRPr="00CC1FCD">
        <w:rPr>
          <w:lang w:val="en-GB"/>
        </w:rPr>
        <w:t>s</w:t>
      </w:r>
      <w:r w:rsidR="00F50FA7" w:rsidRPr="002C29A7">
        <w:rPr>
          <w:lang w:val="en-GB"/>
        </w:rPr>
        <w:t xml:space="preserve"> </w:t>
      </w:r>
      <w:r w:rsidRPr="00CC1FCD">
        <w:rPr>
          <w:lang w:val="en-GB"/>
        </w:rPr>
        <w:t xml:space="preserve">should report the market value, or the amount where applicable, of the assets, inflows and outflows. The market value reported: </w:t>
      </w:r>
    </w:p>
    <w:p w14:paraId="2C437B34" w14:textId="042C3BB7" w:rsidR="004E670D" w:rsidRPr="00CC1FCD" w:rsidRDefault="00F50FA7" w:rsidP="004E670D">
      <w:pPr>
        <w:pStyle w:val="ListParagraph"/>
        <w:numPr>
          <w:ilvl w:val="1"/>
          <w:numId w:val="27"/>
        </w:numPr>
        <w:rPr>
          <w:rFonts w:ascii="Times New Roman" w:hAnsi="Times New Roman"/>
          <w:sz w:val="22"/>
          <w:szCs w:val="22"/>
        </w:rPr>
      </w:pPr>
      <w:r>
        <w:rPr>
          <w:rFonts w:ascii="Times New Roman" w:hAnsi="Times New Roman"/>
          <w:sz w:val="22"/>
          <w:szCs w:val="22"/>
        </w:rPr>
        <w:t>s</w:t>
      </w:r>
      <w:r w:rsidR="004E670D" w:rsidRPr="00CC1FCD">
        <w:rPr>
          <w:rFonts w:ascii="Times New Roman" w:hAnsi="Times New Roman"/>
          <w:sz w:val="22"/>
          <w:szCs w:val="22"/>
        </w:rPr>
        <w:t xml:space="preserve">hould take into account net outflows and inflows that would result in the event of an early close-out of the hedge, including derivatives hedging the difference between the change </w:t>
      </w:r>
      <w:r>
        <w:rPr>
          <w:rFonts w:ascii="Times New Roman" w:hAnsi="Times New Roman"/>
          <w:sz w:val="22"/>
          <w:szCs w:val="22"/>
        </w:rPr>
        <w:t>in</w:t>
      </w:r>
      <w:r w:rsidR="004E670D" w:rsidRPr="00CC1FCD">
        <w:rPr>
          <w:rFonts w:ascii="Times New Roman" w:hAnsi="Times New Roman"/>
          <w:sz w:val="22"/>
          <w:szCs w:val="22"/>
        </w:rPr>
        <w:t xml:space="preserve"> the market value of reserve assets and the change </w:t>
      </w:r>
      <w:r>
        <w:rPr>
          <w:rFonts w:ascii="Times New Roman" w:hAnsi="Times New Roman"/>
          <w:sz w:val="22"/>
          <w:szCs w:val="22"/>
        </w:rPr>
        <w:t>in</w:t>
      </w:r>
      <w:r w:rsidR="004E670D" w:rsidRPr="00CC1FCD">
        <w:rPr>
          <w:rFonts w:ascii="Times New Roman" w:hAnsi="Times New Roman"/>
          <w:sz w:val="22"/>
          <w:szCs w:val="22"/>
        </w:rPr>
        <w:t xml:space="preserve"> the market value of the assets referenced by the </w:t>
      </w:r>
      <w:proofErr w:type="gramStart"/>
      <w:r w:rsidR="004E670D" w:rsidRPr="00CC1FCD">
        <w:rPr>
          <w:rFonts w:ascii="Times New Roman" w:hAnsi="Times New Roman"/>
          <w:sz w:val="22"/>
          <w:szCs w:val="22"/>
        </w:rPr>
        <w:t>token</w:t>
      </w:r>
      <w:r>
        <w:rPr>
          <w:rFonts w:ascii="Times New Roman" w:hAnsi="Times New Roman"/>
          <w:sz w:val="22"/>
          <w:szCs w:val="22"/>
        </w:rPr>
        <w:t>;</w:t>
      </w:r>
      <w:proofErr w:type="gramEnd"/>
      <w:r w:rsidR="004E670D" w:rsidRPr="00CC1FCD">
        <w:rPr>
          <w:rFonts w:ascii="Times New Roman" w:hAnsi="Times New Roman"/>
          <w:sz w:val="22"/>
          <w:szCs w:val="22"/>
        </w:rPr>
        <w:t xml:space="preserve"> </w:t>
      </w:r>
    </w:p>
    <w:p w14:paraId="33DA3E73" w14:textId="2FFB9ED8" w:rsidR="004E670D" w:rsidRPr="00CC1FCD" w:rsidRDefault="00F50FA7" w:rsidP="004E670D">
      <w:pPr>
        <w:pStyle w:val="ListParagraph"/>
        <w:numPr>
          <w:ilvl w:val="1"/>
          <w:numId w:val="27"/>
        </w:numPr>
        <w:rPr>
          <w:rFonts w:ascii="Times New Roman" w:hAnsi="Times New Roman"/>
          <w:sz w:val="22"/>
          <w:szCs w:val="22"/>
        </w:rPr>
      </w:pPr>
      <w:r>
        <w:rPr>
          <w:rFonts w:ascii="Times New Roman" w:hAnsi="Times New Roman"/>
          <w:sz w:val="22"/>
          <w:szCs w:val="22"/>
        </w:rPr>
        <w:t>s</w:t>
      </w:r>
      <w:r w:rsidR="004E670D" w:rsidRPr="00CC1FCD">
        <w:rPr>
          <w:rFonts w:ascii="Times New Roman" w:hAnsi="Times New Roman"/>
          <w:sz w:val="22"/>
          <w:szCs w:val="22"/>
        </w:rPr>
        <w:t xml:space="preserve">hould not </w:t>
      </w:r>
      <w:proofErr w:type="gramStart"/>
      <w:r w:rsidR="004E670D" w:rsidRPr="00CC1FCD">
        <w:rPr>
          <w:rFonts w:ascii="Times New Roman" w:hAnsi="Times New Roman"/>
          <w:sz w:val="22"/>
          <w:szCs w:val="22"/>
        </w:rPr>
        <w:t>take into account</w:t>
      </w:r>
      <w:proofErr w:type="gramEnd"/>
      <w:r w:rsidR="004E670D" w:rsidRPr="00CC1FCD">
        <w:rPr>
          <w:rFonts w:ascii="Times New Roman" w:hAnsi="Times New Roman"/>
          <w:sz w:val="22"/>
          <w:szCs w:val="22"/>
        </w:rPr>
        <w:t xml:space="preserve"> regulatory haircuts.</w:t>
      </w:r>
    </w:p>
    <w:p w14:paraId="569AA355" w14:textId="14F23339" w:rsidR="004E670D" w:rsidRPr="00CC1FCD" w:rsidRDefault="004E670D" w:rsidP="00C76F31">
      <w:pPr>
        <w:pStyle w:val="InstructionsText2"/>
        <w:rPr>
          <w:lang w:val="en-GB"/>
        </w:rPr>
      </w:pPr>
      <w:r w:rsidRPr="00CC1FCD">
        <w:rPr>
          <w:lang w:val="en-GB"/>
        </w:rPr>
        <w:t>Generally, issuers should report positive values across the template, although exceptions should be observed in the case of derivatives from row 0480 to row 0540 where netted values of the derivative legs need to be reported.</w:t>
      </w:r>
    </w:p>
    <w:p w14:paraId="0578E0C1" w14:textId="2BD76D20" w:rsidR="004E670D" w:rsidRPr="00CC1FCD" w:rsidRDefault="004E670D" w:rsidP="00C76F31">
      <w:pPr>
        <w:pStyle w:val="InstructionsText2"/>
        <w:rPr>
          <w:lang w:val="en-GB"/>
        </w:rPr>
      </w:pPr>
      <w:r w:rsidRPr="00CC1FCD">
        <w:rPr>
          <w:lang w:val="en-GB"/>
        </w:rPr>
        <w:lastRenderedPageBreak/>
        <w:t xml:space="preserve">Assets reported under rows 0010 to 0180 should not </w:t>
      </w:r>
      <w:proofErr w:type="gramStart"/>
      <w:r w:rsidRPr="00CC1FCD">
        <w:rPr>
          <w:lang w:val="en-GB"/>
        </w:rPr>
        <w:t>take into account</w:t>
      </w:r>
      <w:proofErr w:type="gramEnd"/>
      <w:r w:rsidRPr="00CC1FCD">
        <w:rPr>
          <w:lang w:val="en-GB"/>
        </w:rPr>
        <w:t xml:space="preserve"> the unwind mechanism as defined in Article </w:t>
      </w:r>
      <w:r w:rsidR="004F3309" w:rsidRPr="00CC1FCD">
        <w:rPr>
          <w:lang w:val="en-GB"/>
        </w:rPr>
        <w:t>6</w:t>
      </w:r>
      <w:r w:rsidRPr="00CC1FCD">
        <w:rPr>
          <w:lang w:val="en-GB"/>
        </w:rPr>
        <w:t xml:space="preserve"> of the</w:t>
      </w:r>
      <w:r w:rsidR="00467D41" w:rsidRPr="00CC1FCD">
        <w:rPr>
          <w:lang w:val="en-GB"/>
        </w:rPr>
        <w:t xml:space="preserve"> regulatory technical standards adopted by the Commission pursuant to Article 38(5) of Regulation (EU) 2023/1114.</w:t>
      </w:r>
    </w:p>
    <w:p w14:paraId="0952FCAC" w14:textId="7EFD5D0E" w:rsidR="004E670D" w:rsidRPr="00CC1FCD" w:rsidRDefault="004E670D" w:rsidP="00C76F31">
      <w:pPr>
        <w:pStyle w:val="InstructionsText2"/>
        <w:rPr>
          <w:lang w:val="en-GB"/>
        </w:rPr>
      </w:pPr>
      <w:r w:rsidRPr="00CC1FCD">
        <w:rPr>
          <w:lang w:val="en-GB"/>
        </w:rPr>
        <w:t xml:space="preserve">Electronic money institutions issuing e-money tokens that are not significant, and that have not been </w:t>
      </w:r>
      <w:r w:rsidR="00F50FA7">
        <w:rPr>
          <w:lang w:val="en-GB"/>
        </w:rPr>
        <w:t>obliged</w:t>
      </w:r>
      <w:r w:rsidRPr="00CC1FCD">
        <w:rPr>
          <w:lang w:val="en-GB"/>
        </w:rPr>
        <w:t xml:space="preserve"> to comply with the requirement </w:t>
      </w:r>
      <w:r w:rsidR="00F50FA7">
        <w:rPr>
          <w:lang w:val="en-GB"/>
        </w:rPr>
        <w:t>for</w:t>
      </w:r>
      <w:r w:rsidRPr="00CC1FCD">
        <w:rPr>
          <w:lang w:val="en-GB"/>
        </w:rPr>
        <w:t xml:space="preserve"> the reserve of assets following Article 58(2) of Regulation (EU) 2023/1114, should report this template</w:t>
      </w:r>
      <w:r w:rsidR="00E13106" w:rsidRPr="00CC1FCD">
        <w:rPr>
          <w:lang w:val="en-GB"/>
        </w:rPr>
        <w:t xml:space="preserve"> with</w:t>
      </w:r>
      <w:r w:rsidRPr="00CC1FCD">
        <w:rPr>
          <w:lang w:val="en-GB"/>
        </w:rPr>
        <w:t xml:space="preserve"> the data related to the amount of the deposits in credit institutions and the market value of the highly liquid financial instruments that they should have in accordance with point (b) of Article 54 of Regulation (EU) 2023/1114.</w:t>
      </w:r>
      <w:r w:rsidR="00E13106" w:rsidRPr="00CC1FCD">
        <w:rPr>
          <w:lang w:val="en-GB"/>
        </w:rPr>
        <w:t xml:space="preserve"> In such cases the references to reserve of assets in the instructions for the specific rows of this template </w:t>
      </w:r>
      <w:r w:rsidR="005344CD" w:rsidRPr="00CC1FCD">
        <w:rPr>
          <w:lang w:val="en-GB"/>
        </w:rPr>
        <w:t xml:space="preserve">should be disregarded, and the issuers in scope should </w:t>
      </w:r>
      <w:proofErr w:type="gramStart"/>
      <w:r w:rsidR="005344CD" w:rsidRPr="00CC1FCD">
        <w:rPr>
          <w:lang w:val="en-GB"/>
        </w:rPr>
        <w:t>take into account</w:t>
      </w:r>
      <w:proofErr w:type="gramEnd"/>
      <w:r w:rsidR="005344CD" w:rsidRPr="00CC1FCD">
        <w:rPr>
          <w:lang w:val="en-GB"/>
        </w:rPr>
        <w:t xml:space="preserve"> the requirements coming from the above</w:t>
      </w:r>
      <w:r w:rsidR="00F50FA7">
        <w:rPr>
          <w:lang w:val="en-GB"/>
        </w:rPr>
        <w:t>-</w:t>
      </w:r>
      <w:r w:rsidR="005344CD" w:rsidRPr="00CC1FCD">
        <w:rPr>
          <w:lang w:val="en-GB"/>
        </w:rPr>
        <w:t>mentioned point (b) of Article 54 of Regulation (EU) 2023/1114.</w:t>
      </w:r>
    </w:p>
    <w:p w14:paraId="4FB3FA92" w14:textId="2B36480C" w:rsidR="004E670D" w:rsidRPr="00CC1FCD" w:rsidRDefault="004E670D" w:rsidP="00C76F31">
      <w:pPr>
        <w:pStyle w:val="InstructionsText2"/>
        <w:rPr>
          <w:lang w:val="en-GB"/>
        </w:rPr>
      </w:pPr>
      <w:bookmarkStart w:id="48" w:name="_Toc164783348"/>
      <w:r w:rsidRPr="00CC1FCD">
        <w:rPr>
          <w:lang w:val="en-GB"/>
        </w:rPr>
        <w:t xml:space="preserve">Issuers should report all the items in this template in the reporting currency, regardless of the actual denomination of those items. For these purposes, items that are not denominated in the reporting currency should be converted into the reporting currency by using the ECB spot exchange rate as of the reporting reference date. </w:t>
      </w:r>
      <w:r w:rsidR="00466B13" w:rsidRPr="00CC1FCD">
        <w:rPr>
          <w:lang w:val="en-GB"/>
        </w:rPr>
        <w:t>Issuers should also report separately the items of this template that are denominated in the same currency, presented in their currency of denomination by setting the related z-axis value accordingly</w:t>
      </w:r>
      <w:r w:rsidRPr="00CC1FCD">
        <w:rPr>
          <w:lang w:val="en-GB"/>
        </w:rPr>
        <w:t>.</w:t>
      </w:r>
    </w:p>
    <w:p w14:paraId="46A093B2" w14:textId="58E7D95F" w:rsidR="004E670D" w:rsidRPr="00CC1FCD" w:rsidRDefault="004E670D" w:rsidP="00E91F4B">
      <w:pPr>
        <w:pStyle w:val="Instructionsberschrift2"/>
        <w:numPr>
          <w:ilvl w:val="0"/>
          <w:numId w:val="13"/>
        </w:numPr>
        <w:rPr>
          <w:sz w:val="22"/>
          <w:szCs w:val="22"/>
        </w:rPr>
      </w:pPr>
      <w:bookmarkStart w:id="49" w:name="_Toc181699806"/>
      <w:bookmarkStart w:id="50" w:name="_Toc184211449"/>
      <w:r w:rsidRPr="00CC1FCD">
        <w:rPr>
          <w:sz w:val="22"/>
          <w:szCs w:val="22"/>
        </w:rPr>
        <w:t xml:space="preserve">Instructions concerning specific positions of </w:t>
      </w:r>
      <w:r w:rsidR="00F50FA7">
        <w:rPr>
          <w:sz w:val="22"/>
          <w:szCs w:val="22"/>
        </w:rPr>
        <w:t>t</w:t>
      </w:r>
      <w:r w:rsidRPr="00CC1FCD">
        <w:rPr>
          <w:sz w:val="22"/>
          <w:szCs w:val="22"/>
        </w:rPr>
        <w:t xml:space="preserve">emplate </w:t>
      </w:r>
      <w:bookmarkEnd w:id="47"/>
      <w:bookmarkEnd w:id="48"/>
      <w:r w:rsidR="00DE2031" w:rsidRPr="00CC1FCD">
        <w:rPr>
          <w:sz w:val="22"/>
          <w:szCs w:val="22"/>
        </w:rPr>
        <w:t>S 03.03</w:t>
      </w:r>
      <w:bookmarkEnd w:id="49"/>
      <w:bookmarkEnd w:id="50"/>
    </w:p>
    <w:tbl>
      <w:tblPr>
        <w:tblStyle w:val="TableGrid"/>
        <w:tblW w:w="8687" w:type="dxa"/>
        <w:tblInd w:w="539" w:type="dxa"/>
        <w:tblLook w:val="04A0" w:firstRow="1" w:lastRow="0" w:firstColumn="1" w:lastColumn="0" w:noHBand="0" w:noVBand="1"/>
      </w:tblPr>
      <w:tblGrid>
        <w:gridCol w:w="1132"/>
        <w:gridCol w:w="7555"/>
      </w:tblGrid>
      <w:tr w:rsidR="004E670D" w:rsidRPr="00CC1FCD" w14:paraId="7AF34671" w14:textId="77777777" w:rsidTr="00CC1FCD">
        <w:tc>
          <w:tcPr>
            <w:tcW w:w="1132" w:type="dxa"/>
            <w:shd w:val="clear" w:color="auto" w:fill="D9D9D9" w:themeFill="background1" w:themeFillShade="D9"/>
            <w:vAlign w:val="center"/>
          </w:tcPr>
          <w:p w14:paraId="194EF9A5" w14:textId="31794789"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Column</w:t>
            </w:r>
          </w:p>
        </w:tc>
        <w:tc>
          <w:tcPr>
            <w:tcW w:w="7555" w:type="dxa"/>
            <w:shd w:val="clear" w:color="auto" w:fill="D9D9D9" w:themeFill="background1" w:themeFillShade="D9"/>
            <w:vAlign w:val="center"/>
          </w:tcPr>
          <w:p w14:paraId="05CBEA9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Legal references and instructions</w:t>
            </w:r>
          </w:p>
        </w:tc>
      </w:tr>
      <w:tr w:rsidR="004E670D" w:rsidRPr="00CC1FCD" w14:paraId="353476A6" w14:textId="77777777" w:rsidTr="00CC1FCD">
        <w:tc>
          <w:tcPr>
            <w:tcW w:w="1132" w:type="dxa"/>
            <w:vAlign w:val="center"/>
          </w:tcPr>
          <w:p w14:paraId="61E267F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0010</w:t>
            </w:r>
          </w:p>
        </w:tc>
        <w:tc>
          <w:tcPr>
            <w:tcW w:w="7555" w:type="dxa"/>
            <w:vAlign w:val="center"/>
          </w:tcPr>
          <w:p w14:paraId="45BB65F1"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Up to 1 day</w:t>
            </w:r>
          </w:p>
          <w:p w14:paraId="4142A804"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contractual maturity of no longer than one day with respect to the reporting reference date. </w:t>
            </w:r>
          </w:p>
        </w:tc>
      </w:tr>
      <w:tr w:rsidR="004E670D" w:rsidRPr="00CC1FCD" w14:paraId="29B3FB0D" w14:textId="77777777" w:rsidTr="00CC1FCD">
        <w:tc>
          <w:tcPr>
            <w:tcW w:w="1132" w:type="dxa"/>
            <w:vAlign w:val="center"/>
          </w:tcPr>
          <w:p w14:paraId="38B885F0"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0020</w:t>
            </w:r>
          </w:p>
        </w:tc>
        <w:tc>
          <w:tcPr>
            <w:tcW w:w="7555" w:type="dxa"/>
            <w:vAlign w:val="center"/>
          </w:tcPr>
          <w:p w14:paraId="19F7148B"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1 day up to 5 days</w:t>
            </w:r>
          </w:p>
          <w:p w14:paraId="36DBCF7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one day up to five days with respect to the reporting reference date. </w:t>
            </w:r>
          </w:p>
        </w:tc>
      </w:tr>
      <w:tr w:rsidR="004E670D" w:rsidRPr="00CC1FCD" w14:paraId="37A9CF00" w14:textId="77777777" w:rsidTr="00CC1FCD">
        <w:tc>
          <w:tcPr>
            <w:tcW w:w="1132" w:type="dxa"/>
            <w:vAlign w:val="center"/>
          </w:tcPr>
          <w:p w14:paraId="78B2F93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0030</w:t>
            </w:r>
          </w:p>
        </w:tc>
        <w:tc>
          <w:tcPr>
            <w:tcW w:w="7555" w:type="dxa"/>
            <w:vAlign w:val="center"/>
          </w:tcPr>
          <w:p w14:paraId="051078F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5 days up to 2 weeks</w:t>
            </w:r>
          </w:p>
          <w:p w14:paraId="63FE8E66"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five days up to two weeks with respect to the reporting reference date. </w:t>
            </w:r>
          </w:p>
        </w:tc>
      </w:tr>
      <w:tr w:rsidR="004E670D" w:rsidRPr="00CC1FCD" w14:paraId="05C09283" w14:textId="77777777" w:rsidTr="00CC1FCD">
        <w:tc>
          <w:tcPr>
            <w:tcW w:w="1132" w:type="dxa"/>
            <w:vAlign w:val="center"/>
          </w:tcPr>
          <w:p w14:paraId="0876F4B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0040</w:t>
            </w:r>
          </w:p>
        </w:tc>
        <w:tc>
          <w:tcPr>
            <w:tcW w:w="7555" w:type="dxa"/>
            <w:vAlign w:val="center"/>
          </w:tcPr>
          <w:p w14:paraId="5696CF6B"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2 weeks up to 3 weeks</w:t>
            </w:r>
          </w:p>
          <w:p w14:paraId="72A02BE3"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two weeks up to three weeks with respect to the reporting reference date. </w:t>
            </w:r>
          </w:p>
        </w:tc>
      </w:tr>
      <w:tr w:rsidR="004E670D" w:rsidRPr="00CC1FCD" w14:paraId="400BB336" w14:textId="77777777" w:rsidTr="00CC1FCD">
        <w:tc>
          <w:tcPr>
            <w:tcW w:w="1132" w:type="dxa"/>
            <w:vAlign w:val="center"/>
          </w:tcPr>
          <w:p w14:paraId="47C1668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0050</w:t>
            </w:r>
          </w:p>
        </w:tc>
        <w:tc>
          <w:tcPr>
            <w:tcW w:w="7555" w:type="dxa"/>
            <w:vAlign w:val="center"/>
          </w:tcPr>
          <w:p w14:paraId="618853E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3 weeks up to 1 month</w:t>
            </w:r>
          </w:p>
          <w:p w14:paraId="46081B4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three weeks up to one month with respect to the reporting reference date. </w:t>
            </w:r>
          </w:p>
        </w:tc>
      </w:tr>
      <w:tr w:rsidR="004E670D" w:rsidRPr="00CC1FCD" w14:paraId="7CC2C51B" w14:textId="77777777" w:rsidTr="00CC1FCD">
        <w:tc>
          <w:tcPr>
            <w:tcW w:w="1132" w:type="dxa"/>
            <w:vAlign w:val="center"/>
          </w:tcPr>
          <w:p w14:paraId="1BE6E37B"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0060</w:t>
            </w:r>
          </w:p>
        </w:tc>
        <w:tc>
          <w:tcPr>
            <w:tcW w:w="7555" w:type="dxa"/>
            <w:vAlign w:val="center"/>
          </w:tcPr>
          <w:p w14:paraId="03B1966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1 month up to 2 months</w:t>
            </w:r>
          </w:p>
          <w:p w14:paraId="4EE3305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one month up to two months with respect to the reporting reference date. </w:t>
            </w:r>
          </w:p>
        </w:tc>
      </w:tr>
      <w:tr w:rsidR="004E670D" w:rsidRPr="00CC1FCD" w14:paraId="372FF16D" w14:textId="77777777" w:rsidTr="00CC1FCD">
        <w:tc>
          <w:tcPr>
            <w:tcW w:w="1132" w:type="dxa"/>
            <w:vAlign w:val="center"/>
          </w:tcPr>
          <w:p w14:paraId="5710A9E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0070</w:t>
            </w:r>
          </w:p>
        </w:tc>
        <w:tc>
          <w:tcPr>
            <w:tcW w:w="7555" w:type="dxa"/>
            <w:vAlign w:val="center"/>
          </w:tcPr>
          <w:p w14:paraId="3552B798"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2 months up to 3 months</w:t>
            </w:r>
          </w:p>
          <w:p w14:paraId="415A104B"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two months up to three months with respect to the reporting reference date. </w:t>
            </w:r>
          </w:p>
        </w:tc>
      </w:tr>
      <w:tr w:rsidR="004E670D" w:rsidRPr="00CC1FCD" w14:paraId="04DDEA96" w14:textId="77777777" w:rsidTr="00CC1FCD">
        <w:tc>
          <w:tcPr>
            <w:tcW w:w="1132" w:type="dxa"/>
            <w:vAlign w:val="center"/>
          </w:tcPr>
          <w:p w14:paraId="454DB6D1"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0080</w:t>
            </w:r>
          </w:p>
        </w:tc>
        <w:tc>
          <w:tcPr>
            <w:tcW w:w="7555" w:type="dxa"/>
            <w:vAlign w:val="center"/>
          </w:tcPr>
          <w:p w14:paraId="516B500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3 months up to 6 months</w:t>
            </w:r>
          </w:p>
          <w:p w14:paraId="1CEB2B0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three months up to six months with respect to the reporting reference date. </w:t>
            </w:r>
          </w:p>
        </w:tc>
      </w:tr>
      <w:tr w:rsidR="004E670D" w:rsidRPr="00CC1FCD" w14:paraId="30DF8983" w14:textId="77777777" w:rsidTr="00CC1FCD">
        <w:tc>
          <w:tcPr>
            <w:tcW w:w="1132" w:type="dxa"/>
            <w:vAlign w:val="center"/>
          </w:tcPr>
          <w:p w14:paraId="507D1D7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0090</w:t>
            </w:r>
          </w:p>
        </w:tc>
        <w:tc>
          <w:tcPr>
            <w:tcW w:w="7555" w:type="dxa"/>
            <w:vAlign w:val="center"/>
          </w:tcPr>
          <w:p w14:paraId="6AE00EB5"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6 months up to 12 months</w:t>
            </w:r>
          </w:p>
          <w:p w14:paraId="30A1239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six months up to twelve months with respect to the reporting reference date. </w:t>
            </w:r>
          </w:p>
        </w:tc>
      </w:tr>
      <w:tr w:rsidR="004E670D" w:rsidRPr="00CC1FCD" w14:paraId="6B247B7B" w14:textId="77777777" w:rsidTr="00CC1FCD">
        <w:tc>
          <w:tcPr>
            <w:tcW w:w="1132" w:type="dxa"/>
            <w:vAlign w:val="center"/>
          </w:tcPr>
          <w:p w14:paraId="0AAB33C5"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0100</w:t>
            </w:r>
          </w:p>
        </w:tc>
        <w:tc>
          <w:tcPr>
            <w:tcW w:w="7555" w:type="dxa"/>
            <w:vAlign w:val="center"/>
          </w:tcPr>
          <w:p w14:paraId="64EDC37D"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12 months up to 36 months</w:t>
            </w:r>
          </w:p>
          <w:p w14:paraId="107171B9"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with an individual residual maturity of greater than twelve months up to thirty-six months with respect to the reporting reference date.</w:t>
            </w:r>
          </w:p>
        </w:tc>
      </w:tr>
      <w:tr w:rsidR="004E670D" w:rsidRPr="00CC1FCD" w14:paraId="3714F427" w14:textId="77777777" w:rsidTr="00CC1FCD">
        <w:tc>
          <w:tcPr>
            <w:tcW w:w="1132" w:type="dxa"/>
            <w:vAlign w:val="center"/>
          </w:tcPr>
          <w:p w14:paraId="71A1FD24"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0110</w:t>
            </w:r>
          </w:p>
        </w:tc>
        <w:tc>
          <w:tcPr>
            <w:tcW w:w="7555" w:type="dxa"/>
            <w:vAlign w:val="center"/>
          </w:tcPr>
          <w:p w14:paraId="6E7937CD"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36 months up to 60 months</w:t>
            </w:r>
          </w:p>
          <w:p w14:paraId="3B5E98B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with an individual residual maturity of greater than thirty-six months up to sixty months with respect to the reporting reference date.</w:t>
            </w:r>
          </w:p>
        </w:tc>
      </w:tr>
      <w:tr w:rsidR="004E670D" w:rsidRPr="00CC1FCD" w14:paraId="23641938" w14:textId="77777777" w:rsidTr="00CC1FCD">
        <w:tc>
          <w:tcPr>
            <w:tcW w:w="1132" w:type="dxa"/>
            <w:vAlign w:val="center"/>
          </w:tcPr>
          <w:p w14:paraId="39E74FF0"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0120</w:t>
            </w:r>
          </w:p>
        </w:tc>
        <w:tc>
          <w:tcPr>
            <w:tcW w:w="7555" w:type="dxa"/>
            <w:vAlign w:val="center"/>
          </w:tcPr>
          <w:p w14:paraId="79F286D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Greater than 60 months</w:t>
            </w:r>
          </w:p>
          <w:p w14:paraId="682D0D4C"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Relevant assets, inflows and outflows</w:t>
            </w:r>
            <w:r w:rsidRPr="00CC1FCD">
              <w:rPr>
                <w:rFonts w:ascii="Times New Roman" w:hAnsi="Times New Roman"/>
                <w:i/>
                <w:iCs/>
                <w:sz w:val="22"/>
                <w:szCs w:val="22"/>
                <w:lang w:val="en-GB"/>
              </w:rPr>
              <w:t xml:space="preserve"> </w:t>
            </w:r>
            <w:r w:rsidRPr="00CC1FCD">
              <w:rPr>
                <w:rFonts w:ascii="Times New Roman" w:hAnsi="Times New Roman"/>
                <w:sz w:val="22"/>
                <w:szCs w:val="22"/>
                <w:lang w:val="en-GB"/>
              </w:rPr>
              <w:t xml:space="preserve">with an individual residual maturity of greater than sixty months with respect to the reporting reference date. </w:t>
            </w:r>
          </w:p>
        </w:tc>
      </w:tr>
    </w:tbl>
    <w:p w14:paraId="52282F71" w14:textId="77777777" w:rsidR="004E670D" w:rsidRPr="00CC1FCD" w:rsidRDefault="004E670D" w:rsidP="004E670D">
      <w:pPr>
        <w:spacing w:before="0" w:after="0"/>
        <w:rPr>
          <w:rFonts w:ascii="Times New Roman" w:hAnsi="Times New Roman"/>
          <w:b/>
          <w:bCs/>
          <w:sz w:val="22"/>
          <w:szCs w:val="22"/>
        </w:rPr>
      </w:pPr>
    </w:p>
    <w:tbl>
      <w:tblPr>
        <w:tblStyle w:val="TableGrid"/>
        <w:tblW w:w="8687" w:type="dxa"/>
        <w:tblInd w:w="539" w:type="dxa"/>
        <w:tblLook w:val="04A0" w:firstRow="1" w:lastRow="0" w:firstColumn="1" w:lastColumn="0" w:noHBand="0" w:noVBand="1"/>
      </w:tblPr>
      <w:tblGrid>
        <w:gridCol w:w="1132"/>
        <w:gridCol w:w="7555"/>
      </w:tblGrid>
      <w:tr w:rsidR="004E670D" w:rsidRPr="00CC1FCD" w14:paraId="107F22CD" w14:textId="77777777" w:rsidTr="00CC1FCD">
        <w:tc>
          <w:tcPr>
            <w:tcW w:w="1132" w:type="dxa"/>
            <w:shd w:val="clear" w:color="auto" w:fill="D9D9D9" w:themeFill="background1" w:themeFillShade="D9"/>
            <w:vAlign w:val="center"/>
          </w:tcPr>
          <w:p w14:paraId="6AB0E16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Rows</w:t>
            </w:r>
          </w:p>
        </w:tc>
        <w:tc>
          <w:tcPr>
            <w:tcW w:w="7555" w:type="dxa"/>
            <w:shd w:val="clear" w:color="auto" w:fill="D9D9D9" w:themeFill="background1" w:themeFillShade="D9"/>
            <w:vAlign w:val="center"/>
          </w:tcPr>
          <w:p w14:paraId="1EC541E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Legal references and instructions</w:t>
            </w:r>
          </w:p>
        </w:tc>
      </w:tr>
      <w:tr w:rsidR="004E670D" w:rsidRPr="00CC1FCD" w14:paraId="4B382CD0" w14:textId="77777777" w:rsidTr="00CC1FCD">
        <w:tc>
          <w:tcPr>
            <w:tcW w:w="1132" w:type="dxa"/>
            <w:vAlign w:val="center"/>
          </w:tcPr>
          <w:p w14:paraId="7866D60E"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0010</w:t>
            </w:r>
          </w:p>
        </w:tc>
        <w:tc>
          <w:tcPr>
            <w:tcW w:w="7555" w:type="dxa"/>
            <w:vAlign w:val="center"/>
          </w:tcPr>
          <w:p w14:paraId="1C2ED126"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Coins and banknotes</w:t>
            </w:r>
          </w:p>
          <w:p w14:paraId="4B1A4E3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Total amount of coins and banknotes in the reserve of assets.</w:t>
            </w:r>
          </w:p>
        </w:tc>
      </w:tr>
      <w:tr w:rsidR="004E670D" w:rsidRPr="00CC1FCD" w14:paraId="2884E4B7" w14:textId="77777777" w:rsidTr="00CC1FCD">
        <w:tc>
          <w:tcPr>
            <w:tcW w:w="1132" w:type="dxa"/>
            <w:vAlign w:val="center"/>
          </w:tcPr>
          <w:p w14:paraId="451BF94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0020</w:t>
            </w:r>
          </w:p>
        </w:tc>
        <w:tc>
          <w:tcPr>
            <w:tcW w:w="7555" w:type="dxa"/>
            <w:vAlign w:val="center"/>
          </w:tcPr>
          <w:p w14:paraId="5D382C0E"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Deposits with credit institutions</w:t>
            </w:r>
          </w:p>
          <w:p w14:paraId="4EFF058D"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amount of deposits in the reserve of assets held with credit institutions. </w:t>
            </w:r>
          </w:p>
        </w:tc>
      </w:tr>
      <w:tr w:rsidR="004E670D" w:rsidRPr="00CC1FCD" w14:paraId="318E203C" w14:textId="77777777" w:rsidTr="00CC1FCD">
        <w:tc>
          <w:tcPr>
            <w:tcW w:w="1132" w:type="dxa"/>
            <w:vAlign w:val="center"/>
          </w:tcPr>
          <w:p w14:paraId="0D4708F1"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0030</w:t>
            </w:r>
          </w:p>
        </w:tc>
        <w:tc>
          <w:tcPr>
            <w:tcW w:w="7555" w:type="dxa"/>
            <w:vAlign w:val="center"/>
          </w:tcPr>
          <w:p w14:paraId="792EAB76"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CQS1</w:t>
            </w:r>
          </w:p>
          <w:p w14:paraId="0E74CAA0"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 of deposits with credit institutions under row 0020 that are assigned credit quality step 1 by a nominated ECAI.</w:t>
            </w:r>
          </w:p>
        </w:tc>
      </w:tr>
      <w:tr w:rsidR="004E670D" w:rsidRPr="00CC1FCD" w14:paraId="2D50C558" w14:textId="77777777" w:rsidTr="00CC1FCD">
        <w:tc>
          <w:tcPr>
            <w:tcW w:w="1132" w:type="dxa"/>
            <w:vAlign w:val="center"/>
          </w:tcPr>
          <w:p w14:paraId="34777BE8"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0040</w:t>
            </w:r>
          </w:p>
        </w:tc>
        <w:tc>
          <w:tcPr>
            <w:tcW w:w="7555" w:type="dxa"/>
            <w:vAlign w:val="center"/>
          </w:tcPr>
          <w:p w14:paraId="66D95283"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CQS2</w:t>
            </w:r>
          </w:p>
          <w:p w14:paraId="3A3F669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The amount of deposits with credit institutions under row 0020 that are assigned credit quality step 2 by a nominated ECAI.</w:t>
            </w:r>
          </w:p>
        </w:tc>
      </w:tr>
      <w:tr w:rsidR="004E670D" w:rsidRPr="00CC1FCD" w14:paraId="28A5CB8C" w14:textId="77777777" w:rsidTr="00CC1FCD">
        <w:tc>
          <w:tcPr>
            <w:tcW w:w="1132" w:type="dxa"/>
            <w:vAlign w:val="center"/>
          </w:tcPr>
          <w:p w14:paraId="0EAF83C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0050</w:t>
            </w:r>
          </w:p>
        </w:tc>
        <w:tc>
          <w:tcPr>
            <w:tcW w:w="7555" w:type="dxa"/>
            <w:vAlign w:val="center"/>
          </w:tcPr>
          <w:p w14:paraId="7E605092"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CQS3</w:t>
            </w:r>
          </w:p>
          <w:p w14:paraId="4FFFEFF8"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 of deposits with credit institutions under row 0020 that are assigned credit quality step 3 by a nominated ECAI.</w:t>
            </w:r>
          </w:p>
        </w:tc>
      </w:tr>
      <w:tr w:rsidR="004E670D" w:rsidRPr="00CC1FCD" w14:paraId="5715F09A" w14:textId="77777777" w:rsidTr="00CC1FCD">
        <w:tc>
          <w:tcPr>
            <w:tcW w:w="1132" w:type="dxa"/>
            <w:vAlign w:val="center"/>
          </w:tcPr>
          <w:p w14:paraId="7B7E742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0060</w:t>
            </w:r>
          </w:p>
        </w:tc>
        <w:tc>
          <w:tcPr>
            <w:tcW w:w="7555" w:type="dxa"/>
            <w:vAlign w:val="center"/>
          </w:tcPr>
          <w:p w14:paraId="3D3AE225"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CQS4+</w:t>
            </w:r>
          </w:p>
          <w:p w14:paraId="1702878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 of deposits with credit institutions under row 0020 that are assigned credit quality step 4 or worse by a nominated ECAI.</w:t>
            </w:r>
          </w:p>
        </w:tc>
      </w:tr>
      <w:tr w:rsidR="004E670D" w:rsidRPr="00CC1FCD" w14:paraId="670B2A2F" w14:textId="77777777" w:rsidTr="00CC1FCD">
        <w:tc>
          <w:tcPr>
            <w:tcW w:w="1132" w:type="dxa"/>
            <w:vAlign w:val="center"/>
          </w:tcPr>
          <w:p w14:paraId="7FBC2460"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0070</w:t>
            </w:r>
          </w:p>
        </w:tc>
        <w:tc>
          <w:tcPr>
            <w:tcW w:w="7555" w:type="dxa"/>
            <w:vAlign w:val="center"/>
          </w:tcPr>
          <w:p w14:paraId="6FCC6E4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Without ECAI CQS</w:t>
            </w:r>
          </w:p>
          <w:p w14:paraId="10B0BB39" w14:textId="10660B4B"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 of deposits with credit institution</w:t>
            </w:r>
            <w:r w:rsidR="00035755">
              <w:rPr>
                <w:rFonts w:ascii="Times New Roman" w:hAnsi="Times New Roman"/>
                <w:sz w:val="22"/>
                <w:szCs w:val="22"/>
                <w:lang w:val="en-GB"/>
              </w:rPr>
              <w:t>s</w:t>
            </w:r>
            <w:r w:rsidRPr="00CC1FCD">
              <w:rPr>
                <w:rFonts w:ascii="Times New Roman" w:hAnsi="Times New Roman"/>
                <w:sz w:val="22"/>
                <w:szCs w:val="22"/>
                <w:lang w:val="en-GB"/>
              </w:rPr>
              <w:t xml:space="preserve"> under row 0020 without a credit quality step assigned by a nominated ECAI.</w:t>
            </w:r>
          </w:p>
        </w:tc>
      </w:tr>
      <w:tr w:rsidR="004E670D" w:rsidRPr="00CC1FCD" w14:paraId="5BE0744F" w14:textId="77777777" w:rsidTr="00CC1FCD">
        <w:tc>
          <w:tcPr>
            <w:tcW w:w="1132" w:type="dxa"/>
            <w:vAlign w:val="center"/>
          </w:tcPr>
          <w:p w14:paraId="325E3AE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0080</w:t>
            </w:r>
          </w:p>
        </w:tc>
        <w:tc>
          <w:tcPr>
            <w:tcW w:w="7555" w:type="dxa"/>
            <w:vAlign w:val="center"/>
          </w:tcPr>
          <w:p w14:paraId="64072E26"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Commodities</w:t>
            </w:r>
          </w:p>
          <w:p w14:paraId="02824D69" w14:textId="14BA2259"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commodities or shares in funds that invest in commodities with the aim </w:t>
            </w:r>
            <w:r w:rsidR="00035755">
              <w:rPr>
                <w:rFonts w:ascii="Times New Roman" w:hAnsi="Times New Roman"/>
                <w:sz w:val="22"/>
                <w:szCs w:val="22"/>
                <w:lang w:val="en-GB"/>
              </w:rPr>
              <w:t>of</w:t>
            </w:r>
            <w:r w:rsidRPr="00CC1FCD">
              <w:rPr>
                <w:rFonts w:ascii="Times New Roman" w:hAnsi="Times New Roman"/>
                <w:sz w:val="22"/>
                <w:szCs w:val="22"/>
                <w:lang w:val="en-GB"/>
              </w:rPr>
              <w:t xml:space="preserve"> track</w:t>
            </w:r>
            <w:r w:rsidR="00035755">
              <w:rPr>
                <w:rFonts w:ascii="Times New Roman" w:hAnsi="Times New Roman"/>
                <w:sz w:val="22"/>
                <w:szCs w:val="22"/>
                <w:lang w:val="en-GB"/>
              </w:rPr>
              <w:t>ing</w:t>
            </w:r>
            <w:r w:rsidRPr="00CC1FCD">
              <w:rPr>
                <w:rFonts w:ascii="Times New Roman" w:hAnsi="Times New Roman"/>
                <w:sz w:val="22"/>
                <w:szCs w:val="22"/>
                <w:lang w:val="en-GB"/>
              </w:rPr>
              <w:t xml:space="preserve"> the price of referenced commodities, that are held in the reserve of assets. </w:t>
            </w:r>
          </w:p>
        </w:tc>
      </w:tr>
      <w:tr w:rsidR="004E670D" w:rsidRPr="00CC1FCD" w14:paraId="0075EB83" w14:textId="77777777" w:rsidTr="00CC1FCD">
        <w:tc>
          <w:tcPr>
            <w:tcW w:w="1132" w:type="dxa"/>
            <w:vAlign w:val="center"/>
          </w:tcPr>
          <w:p w14:paraId="4CDAD943"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0090</w:t>
            </w:r>
          </w:p>
        </w:tc>
        <w:tc>
          <w:tcPr>
            <w:tcW w:w="7555" w:type="dxa"/>
            <w:vAlign w:val="center"/>
          </w:tcPr>
          <w:p w14:paraId="02CDB2AA" w14:textId="43C46010"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c</w:t>
            </w:r>
            <w:r w:rsidRPr="00CC1FCD">
              <w:rPr>
                <w:rFonts w:ascii="Times New Roman" w:hAnsi="Times New Roman"/>
                <w:b/>
                <w:bCs/>
                <w:sz w:val="22"/>
                <w:szCs w:val="22"/>
                <w:u w:val="single"/>
                <w:lang w:val="en-GB"/>
              </w:rPr>
              <w:t>entral banks</w:t>
            </w:r>
          </w:p>
          <w:p w14:paraId="284BD6A3" w14:textId="01670EDF" w:rsidR="004E670D" w:rsidRPr="00CC1FCD" w:rsidRDefault="004E670D" w:rsidP="00035755">
            <w:pPr>
              <w:rPr>
                <w:rFonts w:ascii="Times New Roman" w:hAnsi="Times New Roman"/>
                <w:i/>
                <w:iCs/>
                <w:sz w:val="22"/>
                <w:szCs w:val="22"/>
                <w:lang w:val="en-GB"/>
              </w:rPr>
            </w:pPr>
            <w:r w:rsidRPr="00CC1FCD">
              <w:rPr>
                <w:rFonts w:ascii="Times New Roman" w:hAnsi="Times New Roman"/>
                <w:sz w:val="22"/>
                <w:szCs w:val="22"/>
                <w:lang w:val="en-GB"/>
              </w:rPr>
              <w:t xml:space="preserve">The amount or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claims on or guaranteed by central banks referred to in Article 10(1)(b) and (d) of Commission Delegated Regulation (EU) 2015/61</w:t>
            </w:r>
            <w:r w:rsidR="00CA67ED" w:rsidRPr="00CC1FCD">
              <w:rPr>
                <w:rStyle w:val="FootnoteReference"/>
                <w:lang w:val="en-GB"/>
              </w:rPr>
              <w:footnoteReference w:id="4"/>
            </w:r>
            <w:r w:rsidRPr="00CC1FCD">
              <w:rPr>
                <w:rFonts w:ascii="Times New Roman" w:hAnsi="Times New Roman"/>
                <w:sz w:val="22"/>
                <w:szCs w:val="22"/>
                <w:lang w:val="en-GB"/>
              </w:rPr>
              <w:t xml:space="preserve">. </w:t>
            </w:r>
          </w:p>
        </w:tc>
      </w:tr>
      <w:tr w:rsidR="004E670D" w:rsidRPr="00CC1FCD" w14:paraId="17742AD7" w14:textId="77777777" w:rsidTr="00CC1FCD">
        <w:tc>
          <w:tcPr>
            <w:tcW w:w="1132" w:type="dxa"/>
            <w:vAlign w:val="center"/>
          </w:tcPr>
          <w:p w14:paraId="46D89ED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0100</w:t>
            </w:r>
          </w:p>
        </w:tc>
        <w:tc>
          <w:tcPr>
            <w:tcW w:w="7555" w:type="dxa"/>
            <w:vAlign w:val="center"/>
          </w:tcPr>
          <w:p w14:paraId="7F534672" w14:textId="69B23C81"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c</w:t>
            </w:r>
            <w:r w:rsidRPr="00CC1FCD">
              <w:rPr>
                <w:rFonts w:ascii="Times New Roman" w:hAnsi="Times New Roman"/>
                <w:b/>
                <w:bCs/>
                <w:sz w:val="22"/>
                <w:szCs w:val="22"/>
                <w:u w:val="single"/>
                <w:lang w:val="en-GB"/>
              </w:rPr>
              <w:t>entral governments</w:t>
            </w:r>
          </w:p>
          <w:p w14:paraId="38C277A1" w14:textId="75C8033E" w:rsidR="004E670D" w:rsidRPr="00CC1FCD" w:rsidRDefault="004E670D" w:rsidP="00035755">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claims on or guaranteed by central governments referred to in Article 10(1)(c) and (d) of Commission Delegated Regulation (EU) 2015/61.</w:t>
            </w:r>
          </w:p>
        </w:tc>
      </w:tr>
      <w:tr w:rsidR="004E670D" w:rsidRPr="00CC1FCD" w14:paraId="1C32DC9E" w14:textId="77777777" w:rsidTr="00CC1FCD">
        <w:tc>
          <w:tcPr>
            <w:tcW w:w="1132" w:type="dxa"/>
            <w:vAlign w:val="center"/>
          </w:tcPr>
          <w:p w14:paraId="5E9C3B4B"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0110</w:t>
            </w:r>
          </w:p>
        </w:tc>
        <w:tc>
          <w:tcPr>
            <w:tcW w:w="7555" w:type="dxa"/>
            <w:vAlign w:val="center"/>
          </w:tcPr>
          <w:p w14:paraId="2A9B8723" w14:textId="153159C9"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r</w:t>
            </w:r>
            <w:r w:rsidRPr="00CC1FCD">
              <w:rPr>
                <w:rFonts w:ascii="Times New Roman" w:hAnsi="Times New Roman"/>
                <w:b/>
                <w:bCs/>
                <w:sz w:val="22"/>
                <w:szCs w:val="22"/>
                <w:u w:val="single"/>
                <w:lang w:val="en-GB"/>
              </w:rPr>
              <w:t>egional governments / local authorities</w:t>
            </w:r>
          </w:p>
          <w:p w14:paraId="2B9C09DB" w14:textId="447CA155"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claims on or guaranteed by regional governments or local authorities referred to in Article 10(1)(c) of Commission Delegated Regulation (EU) 2015/61.</w:t>
            </w:r>
          </w:p>
        </w:tc>
      </w:tr>
      <w:tr w:rsidR="004E670D" w:rsidRPr="00CC1FCD" w14:paraId="1E85828F" w14:textId="77777777" w:rsidTr="00CC1FCD">
        <w:tc>
          <w:tcPr>
            <w:tcW w:w="1132" w:type="dxa"/>
            <w:vAlign w:val="center"/>
          </w:tcPr>
          <w:p w14:paraId="66466CDE"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0120</w:t>
            </w:r>
          </w:p>
        </w:tc>
        <w:tc>
          <w:tcPr>
            <w:tcW w:w="7555" w:type="dxa"/>
            <w:vAlign w:val="center"/>
          </w:tcPr>
          <w:p w14:paraId="36CB67D3" w14:textId="2978A8A2"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p</w:t>
            </w:r>
            <w:r w:rsidRPr="00CC1FCD">
              <w:rPr>
                <w:rFonts w:ascii="Times New Roman" w:hAnsi="Times New Roman"/>
                <w:b/>
                <w:bCs/>
                <w:sz w:val="22"/>
                <w:szCs w:val="22"/>
                <w:u w:val="single"/>
                <w:lang w:val="en-GB"/>
              </w:rPr>
              <w:t xml:space="preserve">ublic </w:t>
            </w:r>
            <w:r w:rsidR="00035755">
              <w:rPr>
                <w:rFonts w:ascii="Times New Roman" w:hAnsi="Times New Roman"/>
                <w:b/>
                <w:bCs/>
                <w:sz w:val="22"/>
                <w:szCs w:val="22"/>
                <w:u w:val="single"/>
                <w:lang w:val="en-GB"/>
              </w:rPr>
              <w:t>s</w:t>
            </w:r>
            <w:r w:rsidRPr="00CC1FCD">
              <w:rPr>
                <w:rFonts w:ascii="Times New Roman" w:hAnsi="Times New Roman"/>
                <w:b/>
                <w:bCs/>
                <w:sz w:val="22"/>
                <w:szCs w:val="22"/>
                <w:u w:val="single"/>
                <w:lang w:val="en-GB"/>
              </w:rPr>
              <w:t xml:space="preserve">ector </w:t>
            </w:r>
            <w:r w:rsidR="00035755">
              <w:rPr>
                <w:rFonts w:ascii="Times New Roman" w:hAnsi="Times New Roman"/>
                <w:b/>
                <w:bCs/>
                <w:sz w:val="22"/>
                <w:szCs w:val="22"/>
                <w:u w:val="single"/>
                <w:lang w:val="en-GB"/>
              </w:rPr>
              <w:t>e</w:t>
            </w:r>
            <w:r w:rsidRPr="00CC1FCD">
              <w:rPr>
                <w:rFonts w:ascii="Times New Roman" w:hAnsi="Times New Roman"/>
                <w:b/>
                <w:bCs/>
                <w:sz w:val="22"/>
                <w:szCs w:val="22"/>
                <w:u w:val="single"/>
                <w:lang w:val="en-GB"/>
              </w:rPr>
              <w:t>ntities</w:t>
            </w:r>
          </w:p>
          <w:p w14:paraId="345AE810" w14:textId="21251328"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lastRenderedPageBreak/>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claims on or guaranteed by public sector entities referred to in Article 10(1)(c) of Commission Delegated Regulation (EU) 2015/61.</w:t>
            </w:r>
          </w:p>
        </w:tc>
      </w:tr>
      <w:tr w:rsidR="004E670D" w:rsidRPr="00CC1FCD" w14:paraId="03230C15" w14:textId="77777777" w:rsidTr="00CC1FCD">
        <w:tc>
          <w:tcPr>
            <w:tcW w:w="1132" w:type="dxa"/>
            <w:vAlign w:val="center"/>
          </w:tcPr>
          <w:p w14:paraId="02EE6C23"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0130</w:t>
            </w:r>
          </w:p>
        </w:tc>
        <w:tc>
          <w:tcPr>
            <w:tcW w:w="7555" w:type="dxa"/>
            <w:vAlign w:val="center"/>
          </w:tcPr>
          <w:p w14:paraId="119C01BC" w14:textId="14EA10A4" w:rsidR="00467D41"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c</w:t>
            </w:r>
            <w:r w:rsidRPr="00CC1FCD">
              <w:rPr>
                <w:rFonts w:ascii="Times New Roman" w:hAnsi="Times New Roman"/>
                <w:b/>
                <w:bCs/>
                <w:sz w:val="22"/>
                <w:szCs w:val="22"/>
                <w:u w:val="single"/>
                <w:lang w:val="en-GB"/>
              </w:rPr>
              <w:t>redit institutions (protected by Member State government, promotional lender)</w:t>
            </w:r>
          </w:p>
          <w:p w14:paraId="0FB7396F" w14:textId="759288EE"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issued by credit institutions referred to in Article 10(1)(e) of Commission Delegated Regulation (EU) 2015/61.</w:t>
            </w:r>
          </w:p>
        </w:tc>
      </w:tr>
      <w:tr w:rsidR="004E670D" w:rsidRPr="00CC1FCD" w14:paraId="2A0D8EE2" w14:textId="77777777" w:rsidTr="00CC1FCD">
        <w:tc>
          <w:tcPr>
            <w:tcW w:w="1132" w:type="dxa"/>
            <w:vAlign w:val="center"/>
          </w:tcPr>
          <w:p w14:paraId="729320F2"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0140</w:t>
            </w:r>
          </w:p>
        </w:tc>
        <w:tc>
          <w:tcPr>
            <w:tcW w:w="7555" w:type="dxa"/>
            <w:vAlign w:val="center"/>
          </w:tcPr>
          <w:p w14:paraId="1163E146" w14:textId="728D297C"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representing claims on or guaranteed by </w:t>
            </w:r>
            <w:r w:rsidR="00035755">
              <w:rPr>
                <w:rFonts w:ascii="Times New Roman" w:hAnsi="Times New Roman"/>
                <w:b/>
                <w:bCs/>
                <w:sz w:val="22"/>
                <w:szCs w:val="22"/>
                <w:u w:val="single"/>
                <w:lang w:val="en-GB"/>
              </w:rPr>
              <w:t>m</w:t>
            </w:r>
            <w:r w:rsidRPr="00CC1FCD">
              <w:rPr>
                <w:rFonts w:ascii="Times New Roman" w:hAnsi="Times New Roman"/>
                <w:b/>
                <w:bCs/>
                <w:sz w:val="22"/>
                <w:szCs w:val="22"/>
                <w:u w:val="single"/>
                <w:lang w:val="en-GB"/>
              </w:rPr>
              <w:t>ultilateral development banks and international organisations</w:t>
            </w:r>
          </w:p>
          <w:p w14:paraId="3FC6007D" w14:textId="24052CC0"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claims on or guaranteed by the multilateral development banks and the international organisations referred to in Article 10(1)(g) of Commission Delegated Regulation (EU) 2015/61.</w:t>
            </w:r>
          </w:p>
        </w:tc>
      </w:tr>
      <w:tr w:rsidR="004E670D" w:rsidRPr="00CC1FCD" w14:paraId="01106596" w14:textId="77777777" w:rsidTr="00CC1FCD">
        <w:tc>
          <w:tcPr>
            <w:tcW w:w="1132" w:type="dxa"/>
            <w:vAlign w:val="center"/>
          </w:tcPr>
          <w:p w14:paraId="652F34EA"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0150</w:t>
            </w:r>
          </w:p>
        </w:tc>
        <w:tc>
          <w:tcPr>
            <w:tcW w:w="7555" w:type="dxa"/>
            <w:vAlign w:val="center"/>
          </w:tcPr>
          <w:p w14:paraId="5F0DD36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Qualifying CIU units</w:t>
            </w:r>
          </w:p>
          <w:p w14:paraId="3074849E" w14:textId="432C6830"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 </w:t>
            </w:r>
            <w:r w:rsidRPr="00CC1FCD">
              <w:rPr>
                <w:rFonts w:ascii="Times New Roman" w:hAnsi="Times New Roman"/>
                <w:sz w:val="22"/>
                <w:szCs w:val="22"/>
                <w:lang w:val="en-GB"/>
              </w:rPr>
              <w:t>representing shares or units in CIUs referred to in Article 15(2)(a) of Commission Delegated Regulation (EU) 2015/61. The market value of units in UCITS in the reserve of assets as referred to in Article 38(2) of Regulation (EU) 2023/1114 should be reported here too.</w:t>
            </w:r>
          </w:p>
        </w:tc>
      </w:tr>
      <w:tr w:rsidR="004E670D" w:rsidRPr="00CC1FCD" w14:paraId="64A60104" w14:textId="77777777" w:rsidTr="00CC1FCD">
        <w:tc>
          <w:tcPr>
            <w:tcW w:w="1132" w:type="dxa"/>
            <w:vAlign w:val="center"/>
          </w:tcPr>
          <w:p w14:paraId="6D15EA34"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0160</w:t>
            </w:r>
          </w:p>
        </w:tc>
        <w:tc>
          <w:tcPr>
            <w:tcW w:w="7555" w:type="dxa"/>
            <w:vAlign w:val="center"/>
          </w:tcPr>
          <w:p w14:paraId="7CC6CE5D"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Extremely high-quality covered bonds</w:t>
            </w:r>
          </w:p>
          <w:p w14:paraId="71E7CCBA" w14:textId="5EE797C6"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highly liquid financial instruments in the reserve of assets as defined in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 xml:space="preserve"> representing exposures in the form of extremely high-quality covered bonds referred to in Article 10(1)(f) of Commission Delegated Regulation (EU) 2015/61.</w:t>
            </w:r>
          </w:p>
        </w:tc>
      </w:tr>
      <w:tr w:rsidR="004E670D" w:rsidRPr="00CC1FCD" w14:paraId="532AB961" w14:textId="77777777" w:rsidTr="00CC1FCD">
        <w:tc>
          <w:tcPr>
            <w:tcW w:w="1132" w:type="dxa"/>
            <w:vAlign w:val="center"/>
          </w:tcPr>
          <w:p w14:paraId="4F81E39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0170</w:t>
            </w:r>
          </w:p>
        </w:tc>
        <w:tc>
          <w:tcPr>
            <w:tcW w:w="7555" w:type="dxa"/>
            <w:vAlign w:val="center"/>
          </w:tcPr>
          <w:p w14:paraId="45063D8D" w14:textId="2D21E609"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Other highly liquid financial instruments, </w:t>
            </w:r>
            <w:r w:rsidR="004F3309" w:rsidRPr="00CC1FCD">
              <w:rPr>
                <w:rFonts w:ascii="Times New Roman" w:hAnsi="Times New Roman"/>
                <w:b/>
                <w:bCs/>
                <w:sz w:val="22"/>
                <w:szCs w:val="22"/>
                <w:u w:val="single"/>
                <w:lang w:val="en-GB"/>
              </w:rPr>
              <w:t>tracking the</w:t>
            </w:r>
            <w:r w:rsidRPr="00CC1FCD">
              <w:rPr>
                <w:rFonts w:ascii="Times New Roman" w:hAnsi="Times New Roman"/>
                <w:b/>
                <w:bCs/>
                <w:sz w:val="22"/>
                <w:szCs w:val="22"/>
                <w:u w:val="single"/>
                <w:lang w:val="en-GB"/>
              </w:rPr>
              <w:t xml:space="preserve"> referenced</w:t>
            </w:r>
            <w:r w:rsidR="004F3309" w:rsidRPr="00CC1FCD">
              <w:rPr>
                <w:rFonts w:ascii="Times New Roman" w:hAnsi="Times New Roman"/>
                <w:b/>
                <w:bCs/>
                <w:sz w:val="22"/>
                <w:szCs w:val="22"/>
                <w:u w:val="single"/>
                <w:lang w:val="en-GB"/>
              </w:rPr>
              <w:t xml:space="preserve"> assets</w:t>
            </w:r>
          </w:p>
          <w:p w14:paraId="1B742E8E" w14:textId="2528EF9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highly liquid financial instruments in the reserve of assets </w:t>
            </w:r>
            <w:r w:rsidR="004F3309" w:rsidRPr="00CC1FCD">
              <w:rPr>
                <w:rFonts w:ascii="Times New Roman" w:hAnsi="Times New Roman"/>
                <w:sz w:val="22"/>
                <w:szCs w:val="22"/>
                <w:lang w:val="en-GB"/>
              </w:rPr>
              <w:t>tracking the</w:t>
            </w:r>
            <w:r w:rsidRPr="00CC1FCD">
              <w:rPr>
                <w:rFonts w:ascii="Times New Roman" w:hAnsi="Times New Roman"/>
                <w:sz w:val="22"/>
                <w:szCs w:val="22"/>
                <w:lang w:val="en-GB"/>
              </w:rPr>
              <w:t xml:space="preserve"> assets referenced</w:t>
            </w:r>
            <w:r w:rsidR="004F3309" w:rsidRPr="00CC1FCD">
              <w:rPr>
                <w:rFonts w:ascii="Times New Roman" w:hAnsi="Times New Roman"/>
                <w:sz w:val="22"/>
                <w:szCs w:val="22"/>
                <w:lang w:val="en-GB"/>
              </w:rPr>
              <w:t>,</w:t>
            </w:r>
            <w:r w:rsidRPr="00CC1FCD">
              <w:rPr>
                <w:rFonts w:ascii="Times New Roman" w:hAnsi="Times New Roman"/>
                <w:sz w:val="22"/>
                <w:szCs w:val="22"/>
                <w:lang w:val="en-GB"/>
              </w:rPr>
              <w:t xml:space="preserve"> falling under Article </w:t>
            </w:r>
            <w:r w:rsidR="004F3309" w:rsidRPr="00CC1FCD">
              <w:rPr>
                <w:rFonts w:ascii="Times New Roman" w:hAnsi="Times New Roman"/>
                <w:sz w:val="22"/>
                <w:szCs w:val="22"/>
                <w:lang w:val="en-GB"/>
              </w:rPr>
              <w:t>2(1)</w:t>
            </w:r>
            <w:r w:rsidRPr="00CC1FCD">
              <w:rPr>
                <w:rFonts w:ascii="Times New Roman" w:hAnsi="Times New Roman"/>
                <w:sz w:val="22"/>
                <w:szCs w:val="22"/>
                <w:lang w:val="en-GB"/>
              </w:rPr>
              <w:t>(</w:t>
            </w:r>
            <w:r w:rsidR="004F3309" w:rsidRPr="00CC1FCD">
              <w:rPr>
                <w:rFonts w:ascii="Times New Roman" w:hAnsi="Times New Roman"/>
                <w:sz w:val="22"/>
                <w:szCs w:val="22"/>
                <w:lang w:val="en-GB"/>
              </w:rPr>
              <w:t>a</w:t>
            </w:r>
            <w:r w:rsidRPr="00CC1FCD">
              <w:rPr>
                <w:rFonts w:ascii="Times New Roman" w:hAnsi="Times New Roman"/>
                <w:sz w:val="22"/>
                <w:szCs w:val="22"/>
                <w:lang w:val="en-GB"/>
              </w:rPr>
              <w:t>)(iii)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3D29AEB8" w14:textId="77777777" w:rsidTr="00CC1FCD">
        <w:tc>
          <w:tcPr>
            <w:tcW w:w="1132" w:type="dxa"/>
            <w:vAlign w:val="center"/>
          </w:tcPr>
          <w:p w14:paraId="29169622"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0180</w:t>
            </w:r>
          </w:p>
        </w:tc>
        <w:tc>
          <w:tcPr>
            <w:tcW w:w="7555" w:type="dxa"/>
            <w:vAlign w:val="center"/>
          </w:tcPr>
          <w:p w14:paraId="628A4C4C"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6E9DF76B" w14:textId="7A690379"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w:t>
            </w:r>
            <w:r w:rsidR="0082457A">
              <w:rPr>
                <w:rFonts w:ascii="Times New Roman" w:hAnsi="Times New Roman"/>
                <w:sz w:val="22"/>
                <w:szCs w:val="22"/>
                <w:lang w:val="en-GB"/>
              </w:rPr>
              <w:t xml:space="preserve"> </w:t>
            </w:r>
            <w:r w:rsidRPr="00CC1FCD">
              <w:rPr>
                <w:rFonts w:ascii="Times New Roman" w:hAnsi="Times New Roman"/>
                <w:sz w:val="22"/>
                <w:szCs w:val="22"/>
                <w:lang w:val="en-GB"/>
              </w:rPr>
              <w:t>/</w:t>
            </w:r>
            <w:r w:rsidR="0082457A">
              <w:rPr>
                <w:rFonts w:ascii="Times New Roman" w:hAnsi="Times New Roman"/>
                <w:sz w:val="22"/>
                <w:szCs w:val="22"/>
                <w:lang w:val="en-GB"/>
              </w:rPr>
              <w:t xml:space="preserve"> </w:t>
            </w:r>
            <w:r w:rsidRPr="00CC1FCD">
              <w:rPr>
                <w:rFonts w:ascii="Times New Roman" w:hAnsi="Times New Roman"/>
                <w:sz w:val="22"/>
                <w:szCs w:val="22"/>
                <w:lang w:val="en-GB"/>
              </w:rPr>
              <w:t>market value of any other asset in the reserve of assets referred to in Article 36 of Regulation (EU) 2023/1114.</w:t>
            </w:r>
          </w:p>
        </w:tc>
      </w:tr>
      <w:tr w:rsidR="004E670D" w:rsidRPr="00CC1FCD" w14:paraId="596D71F7" w14:textId="77777777" w:rsidTr="00CC1FCD">
        <w:tc>
          <w:tcPr>
            <w:tcW w:w="1132" w:type="dxa"/>
            <w:vAlign w:val="center"/>
          </w:tcPr>
          <w:p w14:paraId="0320A39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0190</w:t>
            </w:r>
          </w:p>
        </w:tc>
        <w:tc>
          <w:tcPr>
            <w:tcW w:w="7555" w:type="dxa"/>
            <w:vAlign w:val="center"/>
          </w:tcPr>
          <w:p w14:paraId="163063B2" w14:textId="77777777" w:rsidR="004E670D" w:rsidRPr="00CC1FCD" w:rsidRDefault="004E670D" w:rsidP="00CC1FCD">
            <w:pPr>
              <w:rPr>
                <w:rFonts w:ascii="Times New Roman" w:hAnsi="Times New Roman"/>
                <w:sz w:val="22"/>
                <w:szCs w:val="22"/>
                <w:lang w:val="en-GB"/>
              </w:rPr>
            </w:pPr>
            <w:r w:rsidRPr="00CC1FCD">
              <w:rPr>
                <w:rFonts w:ascii="Times New Roman" w:hAnsi="Times New Roman"/>
                <w:b/>
                <w:bCs/>
                <w:sz w:val="22"/>
                <w:szCs w:val="22"/>
                <w:u w:val="single"/>
                <w:lang w:val="en-GB"/>
              </w:rPr>
              <w:t>Reverse repos</w:t>
            </w:r>
          </w:p>
        </w:tc>
      </w:tr>
      <w:tr w:rsidR="004E670D" w:rsidRPr="00CC1FCD" w14:paraId="30994B70" w14:textId="77777777" w:rsidTr="00CC1FCD">
        <w:tc>
          <w:tcPr>
            <w:tcW w:w="1132" w:type="dxa"/>
            <w:vAlign w:val="center"/>
          </w:tcPr>
          <w:p w14:paraId="56B9FA74"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0200</w:t>
            </w:r>
          </w:p>
        </w:tc>
        <w:tc>
          <w:tcPr>
            <w:tcW w:w="7555" w:type="dxa"/>
            <w:vAlign w:val="center"/>
          </w:tcPr>
          <w:p w14:paraId="37CA194B"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Cash inflows</w:t>
            </w:r>
          </w:p>
          <w:p w14:paraId="5F393453"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amount of cash inflows from reverse repos.</w:t>
            </w:r>
          </w:p>
        </w:tc>
      </w:tr>
      <w:tr w:rsidR="004E670D" w:rsidRPr="00CC1FCD" w14:paraId="2A8EAD15" w14:textId="77777777" w:rsidTr="00CC1FCD">
        <w:tc>
          <w:tcPr>
            <w:tcW w:w="1132" w:type="dxa"/>
            <w:vAlign w:val="center"/>
          </w:tcPr>
          <w:p w14:paraId="03EFE820"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0210</w:t>
            </w:r>
          </w:p>
        </w:tc>
        <w:tc>
          <w:tcPr>
            <w:tcW w:w="7555" w:type="dxa"/>
            <w:vAlign w:val="center"/>
          </w:tcPr>
          <w:p w14:paraId="25A8BE56"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Collateral outflows</w:t>
            </w:r>
          </w:p>
          <w:p w14:paraId="559AB13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outflows from reverse repos.</w:t>
            </w:r>
          </w:p>
        </w:tc>
      </w:tr>
      <w:tr w:rsidR="004E670D" w:rsidRPr="00CC1FCD" w14:paraId="6319C7B6" w14:textId="77777777" w:rsidTr="00CC1FCD">
        <w:tc>
          <w:tcPr>
            <w:tcW w:w="1132" w:type="dxa"/>
            <w:vAlign w:val="center"/>
          </w:tcPr>
          <w:p w14:paraId="3E92C762"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0220</w:t>
            </w:r>
          </w:p>
        </w:tc>
        <w:tc>
          <w:tcPr>
            <w:tcW w:w="7555" w:type="dxa"/>
            <w:vAlign w:val="center"/>
          </w:tcPr>
          <w:p w14:paraId="1FF7E2C1" w14:textId="5200CCA0"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4F3309"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4F3309"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w:t>
            </w:r>
            <w:proofErr w:type="spellStart"/>
            <w:r w:rsidRPr="00CC1FCD">
              <w:rPr>
                <w:rFonts w:ascii="Times New Roman" w:hAnsi="Times New Roman"/>
                <w:b/>
                <w:bCs/>
                <w:sz w:val="22"/>
                <w:szCs w:val="22"/>
                <w:u w:val="single"/>
                <w:lang w:val="en-GB"/>
              </w:rPr>
              <w:t>i</w:t>
            </w:r>
            <w:proofErr w:type="spellEnd"/>
            <w:r w:rsidRPr="00CC1FCD">
              <w:rPr>
                <w:rFonts w:ascii="Times New Roman" w:hAnsi="Times New Roman"/>
                <w:b/>
                <w:bCs/>
                <w:sz w:val="22"/>
                <w:szCs w:val="22"/>
                <w:u w:val="single"/>
                <w:lang w:val="en-GB"/>
              </w:rPr>
              <w:t>)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03C2CC0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received in reverse repos as reported in rows 0090 to 0150.</w:t>
            </w:r>
          </w:p>
        </w:tc>
      </w:tr>
      <w:tr w:rsidR="004E670D" w:rsidRPr="00CC1FCD" w14:paraId="66D8B485" w14:textId="77777777" w:rsidTr="00CC1FCD">
        <w:tc>
          <w:tcPr>
            <w:tcW w:w="1132" w:type="dxa"/>
            <w:vAlign w:val="center"/>
          </w:tcPr>
          <w:p w14:paraId="6F0F8088"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0230</w:t>
            </w:r>
          </w:p>
        </w:tc>
        <w:tc>
          <w:tcPr>
            <w:tcW w:w="7555" w:type="dxa"/>
            <w:vAlign w:val="center"/>
          </w:tcPr>
          <w:p w14:paraId="40C2E56E" w14:textId="41CB7E94"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4F3309"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4F3309"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0FE888E7"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received in reverse repos as reported in row 0160.</w:t>
            </w:r>
          </w:p>
        </w:tc>
      </w:tr>
      <w:tr w:rsidR="004E670D" w:rsidRPr="00CC1FCD" w14:paraId="72249E2B" w14:textId="77777777" w:rsidTr="00CC1FCD">
        <w:tc>
          <w:tcPr>
            <w:tcW w:w="1132" w:type="dxa"/>
            <w:vAlign w:val="center"/>
          </w:tcPr>
          <w:p w14:paraId="229251C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0240</w:t>
            </w:r>
          </w:p>
        </w:tc>
        <w:tc>
          <w:tcPr>
            <w:tcW w:w="7555" w:type="dxa"/>
            <w:vAlign w:val="center"/>
          </w:tcPr>
          <w:p w14:paraId="6257CB48" w14:textId="1665EEA8"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4F3309"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4F3309"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5D1E656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received in reverse repos as reported in row 0170.</w:t>
            </w:r>
          </w:p>
        </w:tc>
      </w:tr>
      <w:tr w:rsidR="004E670D" w:rsidRPr="00CC1FCD" w14:paraId="6691BCFA" w14:textId="77777777" w:rsidTr="00CC1FCD">
        <w:tc>
          <w:tcPr>
            <w:tcW w:w="1132" w:type="dxa"/>
            <w:vAlign w:val="center"/>
          </w:tcPr>
          <w:p w14:paraId="01D4C698"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0250</w:t>
            </w:r>
          </w:p>
        </w:tc>
        <w:tc>
          <w:tcPr>
            <w:tcW w:w="7555" w:type="dxa"/>
            <w:vAlign w:val="center"/>
          </w:tcPr>
          <w:p w14:paraId="5AD36925"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7B75858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received in reverse repos as reported in row 0180.</w:t>
            </w:r>
          </w:p>
        </w:tc>
      </w:tr>
      <w:tr w:rsidR="004E670D" w:rsidRPr="00CC1FCD" w14:paraId="67FA56E1" w14:textId="77777777" w:rsidTr="00CC1FCD">
        <w:tc>
          <w:tcPr>
            <w:tcW w:w="1132" w:type="dxa"/>
            <w:vAlign w:val="center"/>
          </w:tcPr>
          <w:p w14:paraId="000BB0B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0260</w:t>
            </w:r>
          </w:p>
        </w:tc>
        <w:tc>
          <w:tcPr>
            <w:tcW w:w="7555" w:type="dxa"/>
            <w:vAlign w:val="center"/>
          </w:tcPr>
          <w:p w14:paraId="5B882E68"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assets (non-reserve assets)</w:t>
            </w:r>
          </w:p>
          <w:p w14:paraId="12692D44"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received in reverse repos that are not included in the reserve assets.</w:t>
            </w:r>
          </w:p>
        </w:tc>
      </w:tr>
      <w:tr w:rsidR="004E670D" w:rsidRPr="00CC1FCD" w14:paraId="5E05D30C" w14:textId="77777777" w:rsidTr="00CC1FCD">
        <w:tc>
          <w:tcPr>
            <w:tcW w:w="1132" w:type="dxa"/>
            <w:vAlign w:val="center"/>
          </w:tcPr>
          <w:p w14:paraId="09E3D30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0270</w:t>
            </w:r>
          </w:p>
        </w:tc>
        <w:tc>
          <w:tcPr>
            <w:tcW w:w="7555" w:type="dxa"/>
            <w:vAlign w:val="center"/>
          </w:tcPr>
          <w:p w14:paraId="04236C7E" w14:textId="77777777" w:rsidR="004E670D" w:rsidRPr="00CC1FCD" w:rsidRDefault="004E670D" w:rsidP="00CC1FCD">
            <w:pPr>
              <w:rPr>
                <w:rFonts w:ascii="Times New Roman" w:hAnsi="Times New Roman"/>
                <w:sz w:val="22"/>
                <w:szCs w:val="22"/>
                <w:lang w:val="en-GB"/>
              </w:rPr>
            </w:pPr>
            <w:r w:rsidRPr="00CC1FCD">
              <w:rPr>
                <w:rFonts w:ascii="Times New Roman" w:hAnsi="Times New Roman"/>
                <w:b/>
                <w:bCs/>
                <w:sz w:val="22"/>
                <w:szCs w:val="22"/>
                <w:u w:val="single"/>
                <w:lang w:val="en-GB"/>
              </w:rPr>
              <w:t>Repos</w:t>
            </w:r>
          </w:p>
        </w:tc>
      </w:tr>
      <w:tr w:rsidR="004E670D" w:rsidRPr="00CC1FCD" w14:paraId="215914CE" w14:textId="77777777" w:rsidTr="00CC1FCD">
        <w:tc>
          <w:tcPr>
            <w:tcW w:w="1132" w:type="dxa"/>
            <w:vAlign w:val="center"/>
          </w:tcPr>
          <w:p w14:paraId="207E52D2"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0280</w:t>
            </w:r>
          </w:p>
        </w:tc>
        <w:tc>
          <w:tcPr>
            <w:tcW w:w="7555" w:type="dxa"/>
            <w:vAlign w:val="center"/>
          </w:tcPr>
          <w:p w14:paraId="293C0580"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Cash outflows</w:t>
            </w:r>
          </w:p>
          <w:p w14:paraId="7EABD6B7"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amount of cash outflows from repos.</w:t>
            </w:r>
          </w:p>
        </w:tc>
      </w:tr>
      <w:tr w:rsidR="004E670D" w:rsidRPr="00CC1FCD" w14:paraId="4388F8C4" w14:textId="77777777" w:rsidTr="00CC1FCD">
        <w:tc>
          <w:tcPr>
            <w:tcW w:w="1132" w:type="dxa"/>
            <w:vAlign w:val="center"/>
          </w:tcPr>
          <w:p w14:paraId="717FF315"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0290</w:t>
            </w:r>
          </w:p>
        </w:tc>
        <w:tc>
          <w:tcPr>
            <w:tcW w:w="7555" w:type="dxa"/>
            <w:vAlign w:val="center"/>
          </w:tcPr>
          <w:p w14:paraId="549D5B13"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Collateral inflows</w:t>
            </w:r>
          </w:p>
          <w:p w14:paraId="33BBB7D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the collateral inflows from repos. </w:t>
            </w:r>
          </w:p>
        </w:tc>
      </w:tr>
      <w:tr w:rsidR="004E670D" w:rsidRPr="00CC1FCD" w14:paraId="3CDF5A54" w14:textId="77777777" w:rsidTr="00CC1FCD">
        <w:tc>
          <w:tcPr>
            <w:tcW w:w="1132" w:type="dxa"/>
            <w:vAlign w:val="center"/>
          </w:tcPr>
          <w:p w14:paraId="78BC577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0300</w:t>
            </w:r>
          </w:p>
        </w:tc>
        <w:tc>
          <w:tcPr>
            <w:tcW w:w="7555" w:type="dxa"/>
            <w:vAlign w:val="center"/>
          </w:tcPr>
          <w:p w14:paraId="6C75198B" w14:textId="56A19289"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4F3309"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4F3309"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w:t>
            </w:r>
            <w:proofErr w:type="spellStart"/>
            <w:r w:rsidRPr="00CC1FCD">
              <w:rPr>
                <w:rFonts w:ascii="Times New Roman" w:hAnsi="Times New Roman"/>
                <w:b/>
                <w:bCs/>
                <w:sz w:val="22"/>
                <w:szCs w:val="22"/>
                <w:u w:val="single"/>
                <w:lang w:val="en-GB"/>
              </w:rPr>
              <w:t>i</w:t>
            </w:r>
            <w:proofErr w:type="spellEnd"/>
            <w:r w:rsidRPr="00CC1FCD">
              <w:rPr>
                <w:rFonts w:ascii="Times New Roman" w:hAnsi="Times New Roman"/>
                <w:b/>
                <w:bCs/>
                <w:sz w:val="22"/>
                <w:szCs w:val="22"/>
                <w:u w:val="single"/>
                <w:lang w:val="en-GB"/>
              </w:rPr>
              <w:t>)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6361E01B" w14:textId="3CC57A66"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collateral posted in repos that, if unencumbered, would qualify as reserve assets under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(1)(</w:t>
            </w:r>
            <w:r w:rsidR="004F3309" w:rsidRPr="00CC1FCD">
              <w:rPr>
                <w:rFonts w:ascii="Times New Roman" w:hAnsi="Times New Roman"/>
                <w:sz w:val="22"/>
                <w:szCs w:val="22"/>
                <w:lang w:val="en-GB"/>
              </w:rPr>
              <w:t>a</w:t>
            </w:r>
            <w:r w:rsidRPr="00CC1FCD">
              <w:rPr>
                <w:rFonts w:ascii="Times New Roman" w:hAnsi="Times New Roman"/>
                <w:sz w:val="22"/>
                <w:szCs w:val="22"/>
                <w:lang w:val="en-GB"/>
              </w:rPr>
              <w:t>)(</w:t>
            </w:r>
            <w:proofErr w:type="spellStart"/>
            <w:r w:rsidRPr="00CC1FCD">
              <w:rPr>
                <w:rFonts w:ascii="Times New Roman" w:hAnsi="Times New Roman"/>
                <w:sz w:val="22"/>
                <w:szCs w:val="22"/>
                <w:lang w:val="en-GB"/>
              </w:rPr>
              <w:t>i</w:t>
            </w:r>
            <w:proofErr w:type="spellEnd"/>
            <w:r w:rsidRPr="00CC1FCD">
              <w:rPr>
                <w:rFonts w:ascii="Times New Roman" w:hAnsi="Times New Roman"/>
                <w:sz w:val="22"/>
                <w:szCs w:val="22"/>
                <w:lang w:val="en-GB"/>
              </w:rPr>
              <w:t>)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i/>
                <w:iCs/>
                <w:sz w:val="22"/>
                <w:szCs w:val="22"/>
                <w:lang w:val="en-GB"/>
              </w:rPr>
              <w:t>.</w:t>
            </w:r>
          </w:p>
        </w:tc>
      </w:tr>
      <w:tr w:rsidR="004E670D" w:rsidRPr="00CC1FCD" w14:paraId="64CA2710" w14:textId="77777777" w:rsidTr="00CC1FCD">
        <w:tc>
          <w:tcPr>
            <w:tcW w:w="1132" w:type="dxa"/>
            <w:vAlign w:val="center"/>
          </w:tcPr>
          <w:p w14:paraId="5F991F48"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0310</w:t>
            </w:r>
          </w:p>
        </w:tc>
        <w:tc>
          <w:tcPr>
            <w:tcW w:w="7555" w:type="dxa"/>
            <w:vAlign w:val="center"/>
          </w:tcPr>
          <w:p w14:paraId="1051F409" w14:textId="6853DC1A"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4F3309"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4F3309"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330BBFCF" w14:textId="420C7855"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 xml:space="preserve">The market value of collateral posted in repos that, if unencumbered, would qualify as reserve assets under Article </w:t>
            </w:r>
            <w:r w:rsidR="004F3309" w:rsidRPr="00CC1FCD">
              <w:rPr>
                <w:rFonts w:ascii="Times New Roman" w:hAnsi="Times New Roman"/>
                <w:sz w:val="22"/>
                <w:szCs w:val="22"/>
                <w:lang w:val="en-GB"/>
              </w:rPr>
              <w:t>2</w:t>
            </w:r>
            <w:r w:rsidRPr="00CC1FCD">
              <w:rPr>
                <w:rFonts w:ascii="Times New Roman" w:hAnsi="Times New Roman"/>
                <w:sz w:val="22"/>
                <w:szCs w:val="22"/>
                <w:lang w:val="en-GB"/>
              </w:rPr>
              <w:t>(1)(</w:t>
            </w:r>
            <w:r w:rsidR="004F3309" w:rsidRPr="00CC1FCD">
              <w:rPr>
                <w:rFonts w:ascii="Times New Roman" w:hAnsi="Times New Roman"/>
                <w:sz w:val="22"/>
                <w:szCs w:val="22"/>
                <w:lang w:val="en-GB"/>
              </w:rPr>
              <w:t>a</w:t>
            </w:r>
            <w:r w:rsidRPr="00CC1FCD">
              <w:rPr>
                <w:rFonts w:ascii="Times New Roman" w:hAnsi="Times New Roman"/>
                <w:sz w:val="22"/>
                <w:szCs w:val="22"/>
                <w:lang w:val="en-GB"/>
              </w:rPr>
              <w:t>)(ii)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i/>
                <w:iCs/>
                <w:sz w:val="22"/>
                <w:szCs w:val="22"/>
                <w:lang w:val="en-GB"/>
              </w:rPr>
              <w:t>.</w:t>
            </w:r>
          </w:p>
        </w:tc>
      </w:tr>
      <w:tr w:rsidR="004E670D" w:rsidRPr="00CC1FCD" w14:paraId="2E176206" w14:textId="77777777" w:rsidTr="00CC1FCD">
        <w:tc>
          <w:tcPr>
            <w:tcW w:w="1132" w:type="dxa"/>
            <w:vAlign w:val="center"/>
          </w:tcPr>
          <w:p w14:paraId="3A4979DD"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0320</w:t>
            </w:r>
          </w:p>
        </w:tc>
        <w:tc>
          <w:tcPr>
            <w:tcW w:w="7555" w:type="dxa"/>
            <w:vAlign w:val="center"/>
          </w:tcPr>
          <w:p w14:paraId="2FD4E017" w14:textId="7311B9AF"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14A58CCD" w14:textId="1DB07DD1"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market value of collateral posted in repos that, if unencumbered, would qualify as reserve assets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)(iii)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i/>
                <w:iCs/>
                <w:sz w:val="22"/>
                <w:szCs w:val="22"/>
                <w:lang w:val="en-GB"/>
              </w:rPr>
              <w:t>.</w:t>
            </w:r>
          </w:p>
        </w:tc>
      </w:tr>
      <w:tr w:rsidR="004E670D" w:rsidRPr="00CC1FCD" w14:paraId="61CD957E" w14:textId="77777777" w:rsidTr="00CC1FCD">
        <w:tc>
          <w:tcPr>
            <w:tcW w:w="1132" w:type="dxa"/>
            <w:vAlign w:val="center"/>
          </w:tcPr>
          <w:p w14:paraId="521859F1"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0330</w:t>
            </w:r>
          </w:p>
        </w:tc>
        <w:tc>
          <w:tcPr>
            <w:tcW w:w="7555" w:type="dxa"/>
            <w:vAlign w:val="center"/>
          </w:tcPr>
          <w:p w14:paraId="0B3F639F"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19DD81E9" w14:textId="6CBD54E5"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posted in repos that, if unencumbered, would qualify as other reserve assets than those envisaged under points (</w:t>
            </w:r>
            <w:proofErr w:type="spellStart"/>
            <w:r w:rsidRPr="00CC1FCD">
              <w:rPr>
                <w:rFonts w:ascii="Times New Roman" w:hAnsi="Times New Roman"/>
                <w:sz w:val="22"/>
                <w:szCs w:val="22"/>
                <w:lang w:val="en-GB"/>
              </w:rPr>
              <w:t>i</w:t>
            </w:r>
            <w:proofErr w:type="spellEnd"/>
            <w:r w:rsidRPr="00CC1FCD">
              <w:rPr>
                <w:rFonts w:ascii="Times New Roman" w:hAnsi="Times New Roman"/>
                <w:sz w:val="22"/>
                <w:szCs w:val="22"/>
                <w:lang w:val="en-GB"/>
              </w:rPr>
              <w:t xml:space="preserve">), (ii) or (iii) of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i/>
                <w:iCs/>
                <w:sz w:val="22"/>
                <w:szCs w:val="22"/>
                <w:lang w:val="en-GB"/>
              </w:rPr>
              <w:t>.</w:t>
            </w:r>
          </w:p>
        </w:tc>
      </w:tr>
      <w:tr w:rsidR="004E670D" w:rsidRPr="00CC1FCD" w14:paraId="1E276DE5" w14:textId="77777777" w:rsidTr="00CC1FCD">
        <w:tc>
          <w:tcPr>
            <w:tcW w:w="1132" w:type="dxa"/>
            <w:vAlign w:val="center"/>
          </w:tcPr>
          <w:p w14:paraId="26ECF86A"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0340</w:t>
            </w:r>
          </w:p>
        </w:tc>
        <w:tc>
          <w:tcPr>
            <w:tcW w:w="7555" w:type="dxa"/>
            <w:vAlign w:val="center"/>
          </w:tcPr>
          <w:p w14:paraId="6C02B4BA"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assets (non-reserve assets)</w:t>
            </w:r>
          </w:p>
          <w:p w14:paraId="3EDC229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posted in repos that would not qualify as reserve assets, even if unencumbered.</w:t>
            </w:r>
          </w:p>
        </w:tc>
      </w:tr>
      <w:tr w:rsidR="004E670D" w:rsidRPr="00CC1FCD" w14:paraId="04D79CE3" w14:textId="77777777" w:rsidTr="00CC1FCD">
        <w:tc>
          <w:tcPr>
            <w:tcW w:w="1132" w:type="dxa"/>
            <w:vAlign w:val="center"/>
          </w:tcPr>
          <w:p w14:paraId="69AFB3C5"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0350</w:t>
            </w:r>
          </w:p>
        </w:tc>
        <w:tc>
          <w:tcPr>
            <w:tcW w:w="7555" w:type="dxa"/>
            <w:vAlign w:val="center"/>
          </w:tcPr>
          <w:p w14:paraId="149074A5" w14:textId="77777777" w:rsidR="004E670D" w:rsidRPr="00CC1FCD" w:rsidRDefault="004E670D" w:rsidP="00CC1FCD">
            <w:pPr>
              <w:rPr>
                <w:rFonts w:ascii="Times New Roman" w:hAnsi="Times New Roman"/>
                <w:sz w:val="22"/>
                <w:szCs w:val="22"/>
                <w:lang w:val="en-GB"/>
              </w:rPr>
            </w:pPr>
            <w:r w:rsidRPr="00CC1FCD">
              <w:rPr>
                <w:rFonts w:ascii="Times New Roman" w:hAnsi="Times New Roman"/>
                <w:b/>
                <w:bCs/>
                <w:sz w:val="22"/>
                <w:szCs w:val="22"/>
                <w:u w:val="single"/>
                <w:lang w:val="en-GB"/>
              </w:rPr>
              <w:t>Collateral swaps</w:t>
            </w:r>
          </w:p>
        </w:tc>
      </w:tr>
      <w:tr w:rsidR="004E670D" w:rsidRPr="00CC1FCD" w14:paraId="30D4CB83" w14:textId="77777777" w:rsidTr="00CC1FCD">
        <w:tc>
          <w:tcPr>
            <w:tcW w:w="1132" w:type="dxa"/>
            <w:vAlign w:val="center"/>
          </w:tcPr>
          <w:p w14:paraId="5EAA53C1"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0360</w:t>
            </w:r>
          </w:p>
        </w:tc>
        <w:tc>
          <w:tcPr>
            <w:tcW w:w="7555" w:type="dxa"/>
            <w:vAlign w:val="center"/>
          </w:tcPr>
          <w:p w14:paraId="475C0228"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Collateral outflows</w:t>
            </w:r>
          </w:p>
          <w:p w14:paraId="2FCB99B7"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the collateral outflows from collateral swaps.</w:t>
            </w:r>
          </w:p>
        </w:tc>
      </w:tr>
      <w:tr w:rsidR="004E670D" w:rsidRPr="00CC1FCD" w14:paraId="6F0D9786" w14:textId="77777777" w:rsidTr="00CC1FCD">
        <w:tc>
          <w:tcPr>
            <w:tcW w:w="1132" w:type="dxa"/>
            <w:vAlign w:val="center"/>
          </w:tcPr>
          <w:p w14:paraId="6E9025BF"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0370</w:t>
            </w:r>
          </w:p>
        </w:tc>
        <w:tc>
          <w:tcPr>
            <w:tcW w:w="7555" w:type="dxa"/>
            <w:vAlign w:val="center"/>
          </w:tcPr>
          <w:p w14:paraId="2B050354" w14:textId="3325051C"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w:t>
            </w:r>
            <w:proofErr w:type="spellStart"/>
            <w:r w:rsidRPr="00CC1FCD">
              <w:rPr>
                <w:rFonts w:ascii="Times New Roman" w:hAnsi="Times New Roman"/>
                <w:b/>
                <w:bCs/>
                <w:sz w:val="22"/>
                <w:szCs w:val="22"/>
                <w:u w:val="single"/>
                <w:lang w:val="en-GB"/>
              </w:rPr>
              <w:t>i</w:t>
            </w:r>
            <w:proofErr w:type="spellEnd"/>
            <w:r w:rsidRPr="00CC1FCD">
              <w:rPr>
                <w:rFonts w:ascii="Times New Roman" w:hAnsi="Times New Roman"/>
                <w:b/>
                <w:bCs/>
                <w:sz w:val="22"/>
                <w:szCs w:val="22"/>
                <w:u w:val="single"/>
                <w:lang w:val="en-GB"/>
              </w:rPr>
              <w:t>)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7A5D7991"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received in collateral swaps as reported in rows 0090 to 0150.</w:t>
            </w:r>
          </w:p>
        </w:tc>
      </w:tr>
      <w:tr w:rsidR="004E670D" w:rsidRPr="00CC1FCD" w14:paraId="5B94EBA2" w14:textId="77777777" w:rsidTr="00CC1FCD">
        <w:tc>
          <w:tcPr>
            <w:tcW w:w="1132" w:type="dxa"/>
            <w:vAlign w:val="center"/>
          </w:tcPr>
          <w:p w14:paraId="777AE69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0380</w:t>
            </w:r>
          </w:p>
        </w:tc>
        <w:tc>
          <w:tcPr>
            <w:tcW w:w="7555" w:type="dxa"/>
            <w:vAlign w:val="center"/>
          </w:tcPr>
          <w:p w14:paraId="40ED12E3" w14:textId="5D8CFC63"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61FA54D2"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received in collateral swaps as reported in row 0160.</w:t>
            </w:r>
          </w:p>
        </w:tc>
      </w:tr>
      <w:tr w:rsidR="004E670D" w:rsidRPr="00CC1FCD" w14:paraId="21EFD98B" w14:textId="77777777" w:rsidTr="00CC1FCD">
        <w:tc>
          <w:tcPr>
            <w:tcW w:w="1132" w:type="dxa"/>
            <w:vAlign w:val="center"/>
          </w:tcPr>
          <w:p w14:paraId="7B207C8A"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0390</w:t>
            </w:r>
          </w:p>
        </w:tc>
        <w:tc>
          <w:tcPr>
            <w:tcW w:w="7555" w:type="dxa"/>
            <w:vAlign w:val="center"/>
          </w:tcPr>
          <w:p w14:paraId="2856C068" w14:textId="58EF2E9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23201C71"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received in collateral swaps as reported in row 0170.</w:t>
            </w:r>
          </w:p>
        </w:tc>
      </w:tr>
      <w:tr w:rsidR="004E670D" w:rsidRPr="00CC1FCD" w14:paraId="5BEFE727" w14:textId="77777777" w:rsidTr="00CC1FCD">
        <w:tc>
          <w:tcPr>
            <w:tcW w:w="1132" w:type="dxa"/>
            <w:vAlign w:val="center"/>
          </w:tcPr>
          <w:p w14:paraId="09796FB5"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0400</w:t>
            </w:r>
          </w:p>
        </w:tc>
        <w:tc>
          <w:tcPr>
            <w:tcW w:w="7555" w:type="dxa"/>
            <w:vAlign w:val="center"/>
          </w:tcPr>
          <w:p w14:paraId="12BF2DCD"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4B4CCA0B"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 market value of collateral received in collateral swaps as reported in row 0180.</w:t>
            </w:r>
          </w:p>
        </w:tc>
      </w:tr>
      <w:tr w:rsidR="004E670D" w:rsidRPr="00CC1FCD" w14:paraId="3F64839C" w14:textId="77777777" w:rsidTr="00CC1FCD">
        <w:tc>
          <w:tcPr>
            <w:tcW w:w="1132" w:type="dxa"/>
            <w:vAlign w:val="center"/>
          </w:tcPr>
          <w:p w14:paraId="1D83B73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0410</w:t>
            </w:r>
          </w:p>
        </w:tc>
        <w:tc>
          <w:tcPr>
            <w:tcW w:w="7555" w:type="dxa"/>
            <w:vAlign w:val="center"/>
          </w:tcPr>
          <w:p w14:paraId="61193A22"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assets (non-reserve assets)</w:t>
            </w:r>
          </w:p>
          <w:p w14:paraId="1FD8132E"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The market value of collateral received in collateral swaps that are not included in the reserve assets.</w:t>
            </w:r>
          </w:p>
        </w:tc>
      </w:tr>
      <w:tr w:rsidR="004E670D" w:rsidRPr="00CC1FCD" w14:paraId="559E17A8" w14:textId="77777777" w:rsidTr="00CC1FCD">
        <w:tc>
          <w:tcPr>
            <w:tcW w:w="1132" w:type="dxa"/>
            <w:vAlign w:val="center"/>
          </w:tcPr>
          <w:p w14:paraId="0E19BE7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0420</w:t>
            </w:r>
          </w:p>
        </w:tc>
        <w:tc>
          <w:tcPr>
            <w:tcW w:w="7555" w:type="dxa"/>
            <w:vAlign w:val="center"/>
          </w:tcPr>
          <w:p w14:paraId="0CAD411D"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Collateral inflows</w:t>
            </w:r>
          </w:p>
          <w:p w14:paraId="6DA7B380"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the collateral inflows from collateral swaps.</w:t>
            </w:r>
          </w:p>
        </w:tc>
      </w:tr>
      <w:tr w:rsidR="004E670D" w:rsidRPr="00CC1FCD" w14:paraId="4340D817" w14:textId="77777777" w:rsidTr="00CC1FCD">
        <w:tc>
          <w:tcPr>
            <w:tcW w:w="1132" w:type="dxa"/>
            <w:vAlign w:val="center"/>
          </w:tcPr>
          <w:p w14:paraId="2CFE6013"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0430</w:t>
            </w:r>
          </w:p>
        </w:tc>
        <w:tc>
          <w:tcPr>
            <w:tcW w:w="7555" w:type="dxa"/>
            <w:vAlign w:val="center"/>
          </w:tcPr>
          <w:p w14:paraId="35B87CCA" w14:textId="6EBE3BFE"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w:t>
            </w:r>
            <w:proofErr w:type="spellStart"/>
            <w:r w:rsidRPr="00CC1FCD">
              <w:rPr>
                <w:rFonts w:ascii="Times New Roman" w:hAnsi="Times New Roman"/>
                <w:b/>
                <w:bCs/>
                <w:sz w:val="22"/>
                <w:szCs w:val="22"/>
                <w:u w:val="single"/>
                <w:lang w:val="en-GB"/>
              </w:rPr>
              <w:t>i</w:t>
            </w:r>
            <w:proofErr w:type="spellEnd"/>
            <w:r w:rsidRPr="00CC1FCD">
              <w:rPr>
                <w:rFonts w:ascii="Times New Roman" w:hAnsi="Times New Roman"/>
                <w:b/>
                <w:bCs/>
                <w:sz w:val="22"/>
                <w:szCs w:val="22"/>
                <w:u w:val="single"/>
                <w:lang w:val="en-GB"/>
              </w:rPr>
              <w:t>)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01981A98" w14:textId="04F1072F"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collateral posted in repos that, if unencumbered, would qualify as reserve assets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w:t>
            </w:r>
            <w:proofErr w:type="spellStart"/>
            <w:r w:rsidRPr="00CC1FCD">
              <w:rPr>
                <w:rFonts w:ascii="Times New Roman" w:hAnsi="Times New Roman"/>
                <w:sz w:val="22"/>
                <w:szCs w:val="22"/>
                <w:lang w:val="en-GB"/>
              </w:rPr>
              <w:t>i</w:t>
            </w:r>
            <w:proofErr w:type="spellEnd"/>
            <w:r w:rsidRPr="00CC1FCD">
              <w:rPr>
                <w:rFonts w:ascii="Times New Roman" w:hAnsi="Times New Roman"/>
                <w:sz w:val="22"/>
                <w:szCs w:val="22"/>
                <w:lang w:val="en-GB"/>
              </w:rPr>
              <w:t>)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101F18D2" w14:textId="77777777" w:rsidTr="00CC1FCD">
        <w:tc>
          <w:tcPr>
            <w:tcW w:w="1132" w:type="dxa"/>
            <w:vAlign w:val="center"/>
          </w:tcPr>
          <w:p w14:paraId="29AEBDE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0440</w:t>
            </w:r>
          </w:p>
        </w:tc>
        <w:tc>
          <w:tcPr>
            <w:tcW w:w="7555" w:type="dxa"/>
            <w:vAlign w:val="center"/>
          </w:tcPr>
          <w:p w14:paraId="2FB81A2A" w14:textId="0663A2EA"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44D08F87" w14:textId="6A68C0E9"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collateral posted in repos that, if unencumbered, would qualify as reserve assets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)(ii) of th</w:t>
            </w:r>
            <w:r w:rsidR="00467D41" w:rsidRPr="00CC1FCD">
              <w:rPr>
                <w:rFonts w:ascii="Times New Roman" w:hAnsi="Times New Roman"/>
                <w:sz w:val="22"/>
                <w:szCs w:val="22"/>
                <w:lang w:val="en-GB"/>
              </w:rPr>
              <w:t>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3D13CD99" w14:textId="77777777" w:rsidTr="00CC1FCD">
        <w:tc>
          <w:tcPr>
            <w:tcW w:w="1132" w:type="dxa"/>
            <w:vAlign w:val="center"/>
          </w:tcPr>
          <w:p w14:paraId="1407DD8C"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0450</w:t>
            </w:r>
          </w:p>
        </w:tc>
        <w:tc>
          <w:tcPr>
            <w:tcW w:w="7555" w:type="dxa"/>
            <w:vAlign w:val="center"/>
          </w:tcPr>
          <w:p w14:paraId="0CCB129D" w14:textId="769336EA"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)(iii) of the</w:t>
            </w:r>
            <w:r w:rsidR="00467D41"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6595C0D6" w14:textId="17BE87E4"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market value of collateral posted in repos that, if unencumbered, would qualify as reserve assets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)(iii)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5DCA47DD" w14:textId="77777777" w:rsidTr="00CC1FCD">
        <w:tc>
          <w:tcPr>
            <w:tcW w:w="1132" w:type="dxa"/>
            <w:vAlign w:val="center"/>
          </w:tcPr>
          <w:p w14:paraId="3BC34A16"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0460</w:t>
            </w:r>
          </w:p>
        </w:tc>
        <w:tc>
          <w:tcPr>
            <w:tcW w:w="7555" w:type="dxa"/>
            <w:vAlign w:val="center"/>
          </w:tcPr>
          <w:p w14:paraId="4DFE1039"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26C13991"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posted in repos that, if unencumbered, would qualify as other reserve assets.</w:t>
            </w:r>
          </w:p>
        </w:tc>
      </w:tr>
      <w:tr w:rsidR="004E670D" w:rsidRPr="00CC1FCD" w14:paraId="56BBED58" w14:textId="77777777" w:rsidTr="00CC1FCD">
        <w:tc>
          <w:tcPr>
            <w:tcW w:w="1132" w:type="dxa"/>
            <w:vAlign w:val="center"/>
          </w:tcPr>
          <w:p w14:paraId="3433E179"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0470</w:t>
            </w:r>
          </w:p>
        </w:tc>
        <w:tc>
          <w:tcPr>
            <w:tcW w:w="7555" w:type="dxa"/>
            <w:vAlign w:val="center"/>
          </w:tcPr>
          <w:p w14:paraId="455D9FEB"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assets (non-reserve assets)</w:t>
            </w:r>
          </w:p>
          <w:p w14:paraId="33CCE6B8"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The market value of collateral posted in repos that would not qualify as reserve assets, even if unencumbered.</w:t>
            </w:r>
          </w:p>
        </w:tc>
      </w:tr>
      <w:tr w:rsidR="004E670D" w:rsidRPr="00CC1FCD" w14:paraId="33C85FEA" w14:textId="77777777" w:rsidTr="00CC1FCD">
        <w:tc>
          <w:tcPr>
            <w:tcW w:w="1132" w:type="dxa"/>
            <w:vAlign w:val="center"/>
          </w:tcPr>
          <w:p w14:paraId="028D3445"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0480</w:t>
            </w:r>
          </w:p>
        </w:tc>
        <w:tc>
          <w:tcPr>
            <w:tcW w:w="7555" w:type="dxa"/>
            <w:vAlign w:val="center"/>
          </w:tcPr>
          <w:p w14:paraId="7E1AF2BC"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Hedging derivatives</w:t>
            </w:r>
          </w:p>
          <w:p w14:paraId="6ADF14ED" w14:textId="61BCBDF8"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Net outflows or net inflows that would result in the event of an early close</w:t>
            </w:r>
            <w:r w:rsidR="007671AE">
              <w:rPr>
                <w:rFonts w:ascii="Times New Roman" w:hAnsi="Times New Roman"/>
                <w:sz w:val="22"/>
                <w:szCs w:val="22"/>
                <w:lang w:val="en-GB"/>
              </w:rPr>
              <w:t>-</w:t>
            </w:r>
            <w:r w:rsidRPr="00CC1FCD">
              <w:rPr>
                <w:rFonts w:ascii="Times New Roman" w:hAnsi="Times New Roman"/>
                <w:sz w:val="22"/>
                <w:szCs w:val="22"/>
                <w:lang w:val="en-GB"/>
              </w:rPr>
              <w:t xml:space="preserve">out of hedging derivatives to highly liquid financial instruments, as referred to in Article </w:t>
            </w:r>
            <w:r w:rsidR="0033054D" w:rsidRPr="00CC1FCD">
              <w:rPr>
                <w:rFonts w:ascii="Times New Roman" w:hAnsi="Times New Roman"/>
                <w:sz w:val="22"/>
                <w:szCs w:val="22"/>
                <w:lang w:val="en-GB"/>
              </w:rPr>
              <w:t>4</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i/>
                <w:iCs/>
                <w:sz w:val="22"/>
                <w:szCs w:val="22"/>
                <w:lang w:val="en-GB"/>
              </w:rPr>
              <w:t>,</w:t>
            </w:r>
            <w:r w:rsidRPr="00CC1FCD">
              <w:rPr>
                <w:rFonts w:ascii="Times New Roman" w:hAnsi="Times New Roman"/>
                <w:sz w:val="22"/>
                <w:szCs w:val="22"/>
                <w:lang w:val="en-GB"/>
              </w:rPr>
              <w:t xml:space="preserve"> or hedging derivatives relating to the assets referenced by the tokens as referred to in Article </w:t>
            </w:r>
            <w:r w:rsidR="0033054D" w:rsidRPr="00CC1FCD">
              <w:rPr>
                <w:rFonts w:ascii="Times New Roman" w:hAnsi="Times New Roman"/>
                <w:sz w:val="22"/>
                <w:szCs w:val="22"/>
                <w:lang w:val="en-GB"/>
              </w:rPr>
              <w:t>3</w:t>
            </w:r>
            <w:r w:rsidRPr="00CC1FCD">
              <w:rPr>
                <w:rFonts w:ascii="Times New Roman" w:hAnsi="Times New Roman"/>
                <w:sz w:val="22"/>
                <w:szCs w:val="22"/>
                <w:lang w:val="en-GB"/>
              </w:rPr>
              <w:t xml:space="preserve"> of the</w:t>
            </w:r>
            <w:r w:rsidR="00467D41"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p w14:paraId="0B32B7F8" w14:textId="544E78D8"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These net outflows or inflows should be included within the market value of items reported as reserve assets in this template.</w:t>
            </w:r>
          </w:p>
        </w:tc>
      </w:tr>
      <w:tr w:rsidR="004E670D" w:rsidRPr="00CC1FCD" w14:paraId="1759CE0F" w14:textId="77777777" w:rsidTr="00CC1FCD">
        <w:tc>
          <w:tcPr>
            <w:tcW w:w="1132" w:type="dxa"/>
            <w:vAlign w:val="center"/>
          </w:tcPr>
          <w:p w14:paraId="29145E0A"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lastRenderedPageBreak/>
              <w:t>0490</w:t>
            </w:r>
          </w:p>
        </w:tc>
        <w:tc>
          <w:tcPr>
            <w:tcW w:w="7555" w:type="dxa"/>
            <w:vAlign w:val="center"/>
          </w:tcPr>
          <w:p w14:paraId="0D686ACC" w14:textId="77450066"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w:t>
            </w:r>
            <w:proofErr w:type="spellStart"/>
            <w:r w:rsidRPr="00CC1FCD">
              <w:rPr>
                <w:rFonts w:ascii="Times New Roman" w:hAnsi="Times New Roman"/>
                <w:b/>
                <w:bCs/>
                <w:sz w:val="22"/>
                <w:szCs w:val="22"/>
                <w:u w:val="single"/>
                <w:lang w:val="en-GB"/>
              </w:rPr>
              <w:t>i</w:t>
            </w:r>
            <w:proofErr w:type="spellEnd"/>
            <w:r w:rsidRPr="00CC1FCD">
              <w:rPr>
                <w:rFonts w:ascii="Times New Roman" w:hAnsi="Times New Roman"/>
                <w:b/>
                <w:bCs/>
                <w:sz w:val="22"/>
                <w:szCs w:val="22"/>
                <w:u w:val="single"/>
                <w:lang w:val="en-GB"/>
              </w:rPr>
              <w:t>) of the</w:t>
            </w:r>
            <w:r w:rsidR="00486FB5"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79D5BA52" w14:textId="3AFA70FB"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w:t>
            </w:r>
            <w:proofErr w:type="gramStart"/>
            <w:r w:rsidRPr="00CC1FCD">
              <w:rPr>
                <w:rFonts w:ascii="Times New Roman" w:hAnsi="Times New Roman"/>
                <w:sz w:val="22"/>
                <w:szCs w:val="22"/>
                <w:lang w:val="en-GB"/>
              </w:rPr>
              <w:t>amount</w:t>
            </w:r>
            <w:proofErr w:type="gramEnd"/>
            <w:r w:rsidRPr="00CC1FCD">
              <w:rPr>
                <w:rFonts w:ascii="Times New Roman" w:hAnsi="Times New Roman"/>
                <w:sz w:val="22"/>
                <w:szCs w:val="22"/>
                <w:lang w:val="en-GB"/>
              </w:rPr>
              <w:t xml:space="preserve"> of hedging derivatives as reported in row 0480 where the hedged item is envisaged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w:t>
            </w:r>
            <w:proofErr w:type="spellStart"/>
            <w:r w:rsidRPr="00CC1FCD">
              <w:rPr>
                <w:rFonts w:ascii="Times New Roman" w:hAnsi="Times New Roman"/>
                <w:sz w:val="22"/>
                <w:szCs w:val="22"/>
                <w:lang w:val="en-GB"/>
              </w:rPr>
              <w:t>i</w:t>
            </w:r>
            <w:proofErr w:type="spellEnd"/>
            <w:r w:rsidRPr="00CC1FCD">
              <w:rPr>
                <w:rFonts w:ascii="Times New Roman" w:hAnsi="Times New Roman"/>
                <w:sz w:val="22"/>
                <w:szCs w:val="22"/>
                <w:lang w:val="en-GB"/>
              </w:rPr>
              <w:t>) of the</w:t>
            </w:r>
            <w:r w:rsidR="00486FB5"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5963F0B5" w14:textId="77777777" w:rsidTr="00CC1FCD">
        <w:tc>
          <w:tcPr>
            <w:tcW w:w="1132" w:type="dxa"/>
            <w:vAlign w:val="center"/>
          </w:tcPr>
          <w:p w14:paraId="6B42C913"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0500</w:t>
            </w:r>
          </w:p>
        </w:tc>
        <w:tc>
          <w:tcPr>
            <w:tcW w:w="7555" w:type="dxa"/>
            <w:vAlign w:val="center"/>
          </w:tcPr>
          <w:p w14:paraId="7C28BD82" w14:textId="0647A12F"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 of the</w:t>
            </w:r>
            <w:r w:rsidR="00486FB5"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41FB1BBD" w14:textId="55AB3869"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w:t>
            </w:r>
            <w:proofErr w:type="gramStart"/>
            <w:r w:rsidRPr="00CC1FCD">
              <w:rPr>
                <w:rFonts w:ascii="Times New Roman" w:hAnsi="Times New Roman"/>
                <w:sz w:val="22"/>
                <w:szCs w:val="22"/>
                <w:lang w:val="en-GB"/>
              </w:rPr>
              <w:t>amount</w:t>
            </w:r>
            <w:proofErr w:type="gramEnd"/>
            <w:r w:rsidRPr="00CC1FCD">
              <w:rPr>
                <w:rFonts w:ascii="Times New Roman" w:hAnsi="Times New Roman"/>
                <w:sz w:val="22"/>
                <w:szCs w:val="22"/>
                <w:lang w:val="en-GB"/>
              </w:rPr>
              <w:t xml:space="preserve"> of hedging derivatives as reported in row 0480 where the hedged item is envisaged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)(ii) of the</w:t>
            </w:r>
            <w:r w:rsidR="00486FB5" w:rsidRPr="00CC1FCD">
              <w:rPr>
                <w:rFonts w:ascii="Times New Roman" w:hAnsi="Times New Roman"/>
                <w:sz w:val="22"/>
                <w:szCs w:val="22"/>
                <w:lang w:val="en-GB"/>
              </w:rPr>
              <w:t xml:space="preserv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4AABFD10" w14:textId="77777777" w:rsidTr="00CC1FCD">
        <w:tc>
          <w:tcPr>
            <w:tcW w:w="1132" w:type="dxa"/>
            <w:vAlign w:val="center"/>
          </w:tcPr>
          <w:p w14:paraId="6A1641CB"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0510</w:t>
            </w:r>
          </w:p>
        </w:tc>
        <w:tc>
          <w:tcPr>
            <w:tcW w:w="7555" w:type="dxa"/>
            <w:vAlign w:val="center"/>
          </w:tcPr>
          <w:p w14:paraId="72E6F41E" w14:textId="710FFEA5"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 xml:space="preserve">Assets under Article </w:t>
            </w:r>
            <w:r w:rsidR="0033054D" w:rsidRPr="00CC1FCD">
              <w:rPr>
                <w:rFonts w:ascii="Times New Roman" w:hAnsi="Times New Roman"/>
                <w:b/>
                <w:bCs/>
                <w:sz w:val="22"/>
                <w:szCs w:val="22"/>
                <w:u w:val="single"/>
                <w:lang w:val="en-GB"/>
              </w:rPr>
              <w:t>2</w:t>
            </w:r>
            <w:r w:rsidRPr="00CC1FCD">
              <w:rPr>
                <w:rFonts w:ascii="Times New Roman" w:hAnsi="Times New Roman"/>
                <w:b/>
                <w:bCs/>
                <w:sz w:val="22"/>
                <w:szCs w:val="22"/>
                <w:u w:val="single"/>
                <w:lang w:val="en-GB"/>
              </w:rPr>
              <w:t>(1)(</w:t>
            </w:r>
            <w:r w:rsidR="0033054D" w:rsidRPr="00CC1FCD">
              <w:rPr>
                <w:rFonts w:ascii="Times New Roman" w:hAnsi="Times New Roman"/>
                <w:b/>
                <w:bCs/>
                <w:sz w:val="22"/>
                <w:szCs w:val="22"/>
                <w:u w:val="single"/>
                <w:lang w:val="en-GB"/>
              </w:rPr>
              <w:t>a</w:t>
            </w:r>
            <w:r w:rsidRPr="00CC1FCD">
              <w:rPr>
                <w:rFonts w:ascii="Times New Roman" w:hAnsi="Times New Roman"/>
                <w:b/>
                <w:bCs/>
                <w:sz w:val="22"/>
                <w:szCs w:val="22"/>
                <w:u w:val="single"/>
                <w:lang w:val="en-GB"/>
              </w:rPr>
              <w:t>)(iii) of the</w:t>
            </w:r>
            <w:r w:rsidR="00486FB5" w:rsidRPr="00CC1FCD">
              <w:rPr>
                <w:rFonts w:ascii="Times New Roman" w:hAnsi="Times New Roman"/>
                <w:b/>
                <w:bCs/>
                <w:sz w:val="22"/>
                <w:szCs w:val="22"/>
                <w:u w:val="single"/>
                <w:lang w:val="en-GB"/>
              </w:rPr>
              <w:t xml:space="preserve"> regulatory technical standards adopted by the Commission pursuant to Article 38(5) of Regulation (EU) 2023/1114</w:t>
            </w:r>
          </w:p>
          <w:p w14:paraId="213007E7" w14:textId="054C594C"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w:t>
            </w:r>
            <w:proofErr w:type="gramStart"/>
            <w:r w:rsidRPr="00CC1FCD">
              <w:rPr>
                <w:rFonts w:ascii="Times New Roman" w:hAnsi="Times New Roman"/>
                <w:sz w:val="22"/>
                <w:szCs w:val="22"/>
                <w:lang w:val="en-GB"/>
              </w:rPr>
              <w:t>amount</w:t>
            </w:r>
            <w:proofErr w:type="gramEnd"/>
            <w:r w:rsidRPr="00CC1FCD">
              <w:rPr>
                <w:rFonts w:ascii="Times New Roman" w:hAnsi="Times New Roman"/>
                <w:sz w:val="22"/>
                <w:szCs w:val="22"/>
                <w:lang w:val="en-GB"/>
              </w:rPr>
              <w:t xml:space="preserve"> of hedging derivatives as reported in row 0480 where the hedged item is envisaged under Article </w:t>
            </w:r>
            <w:r w:rsidR="0033054D" w:rsidRPr="00CC1FCD">
              <w:rPr>
                <w:rFonts w:ascii="Times New Roman" w:hAnsi="Times New Roman"/>
                <w:sz w:val="22"/>
                <w:szCs w:val="22"/>
                <w:lang w:val="en-GB"/>
              </w:rPr>
              <w:t>2</w:t>
            </w:r>
            <w:r w:rsidRPr="00CC1FCD">
              <w:rPr>
                <w:rFonts w:ascii="Times New Roman" w:hAnsi="Times New Roman"/>
                <w:sz w:val="22"/>
                <w:szCs w:val="22"/>
                <w:lang w:val="en-GB"/>
              </w:rPr>
              <w:t>(1)(</w:t>
            </w:r>
            <w:r w:rsidR="0033054D" w:rsidRPr="00CC1FCD">
              <w:rPr>
                <w:rFonts w:ascii="Times New Roman" w:hAnsi="Times New Roman"/>
                <w:sz w:val="22"/>
                <w:szCs w:val="22"/>
                <w:lang w:val="en-GB"/>
              </w:rPr>
              <w:t>a</w:t>
            </w:r>
            <w:r w:rsidRPr="00CC1FCD">
              <w:rPr>
                <w:rFonts w:ascii="Times New Roman" w:hAnsi="Times New Roman"/>
                <w:sz w:val="22"/>
                <w:szCs w:val="22"/>
                <w:lang w:val="en-GB"/>
              </w:rPr>
              <w:t>)(iii) of th</w:t>
            </w:r>
            <w:r w:rsidR="00486FB5" w:rsidRPr="00CC1FCD">
              <w:rPr>
                <w:rFonts w:ascii="Times New Roman" w:hAnsi="Times New Roman"/>
                <w:sz w:val="22"/>
                <w:szCs w:val="22"/>
                <w:lang w:val="en-GB"/>
              </w:rPr>
              <w:t>e regulatory technical standards adopted by the Commission pursuant to Article 38(5) of Regulation (EU) 2023/1114</w:t>
            </w:r>
            <w:r w:rsidRPr="00CC1FCD">
              <w:rPr>
                <w:rFonts w:ascii="Times New Roman" w:hAnsi="Times New Roman"/>
                <w:sz w:val="22"/>
                <w:szCs w:val="22"/>
                <w:lang w:val="en-GB"/>
              </w:rPr>
              <w:t>.</w:t>
            </w:r>
          </w:p>
        </w:tc>
      </w:tr>
      <w:tr w:rsidR="004E670D" w:rsidRPr="00CC1FCD" w14:paraId="3D5EAD0A" w14:textId="77777777" w:rsidTr="00CC1FCD">
        <w:tc>
          <w:tcPr>
            <w:tcW w:w="1132" w:type="dxa"/>
            <w:vAlign w:val="center"/>
          </w:tcPr>
          <w:p w14:paraId="431827FA"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0520</w:t>
            </w:r>
          </w:p>
        </w:tc>
        <w:tc>
          <w:tcPr>
            <w:tcW w:w="7555" w:type="dxa"/>
            <w:vAlign w:val="center"/>
          </w:tcPr>
          <w:p w14:paraId="10C28182"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Commodities</w:t>
            </w:r>
          </w:p>
          <w:p w14:paraId="10EF09FB"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 xml:space="preserve">The </w:t>
            </w:r>
            <w:proofErr w:type="gramStart"/>
            <w:r w:rsidRPr="00CC1FCD">
              <w:rPr>
                <w:rFonts w:ascii="Times New Roman" w:hAnsi="Times New Roman"/>
                <w:sz w:val="22"/>
                <w:szCs w:val="22"/>
                <w:lang w:val="en-GB"/>
              </w:rPr>
              <w:t>amount</w:t>
            </w:r>
            <w:proofErr w:type="gramEnd"/>
            <w:r w:rsidRPr="00CC1FCD">
              <w:rPr>
                <w:rFonts w:ascii="Times New Roman" w:hAnsi="Times New Roman"/>
                <w:sz w:val="22"/>
                <w:szCs w:val="22"/>
                <w:lang w:val="en-GB"/>
              </w:rPr>
              <w:t xml:space="preserve"> of hedging derivatives as reported in row 0480 where the hedged item is commodities.</w:t>
            </w:r>
          </w:p>
        </w:tc>
      </w:tr>
      <w:tr w:rsidR="004E670D" w:rsidRPr="00CC1FCD" w14:paraId="3E6CD7AB" w14:textId="77777777" w:rsidTr="00CC1FCD">
        <w:tc>
          <w:tcPr>
            <w:tcW w:w="1132" w:type="dxa"/>
            <w:vAlign w:val="center"/>
          </w:tcPr>
          <w:p w14:paraId="74211DB7"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0530</w:t>
            </w:r>
          </w:p>
        </w:tc>
        <w:tc>
          <w:tcPr>
            <w:tcW w:w="7555" w:type="dxa"/>
            <w:vAlign w:val="center"/>
          </w:tcPr>
          <w:p w14:paraId="357DE17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Other reserve assets</w:t>
            </w:r>
          </w:p>
          <w:p w14:paraId="393EEF3D" w14:textId="20D0B0C2"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 xml:space="preserve">The </w:t>
            </w:r>
            <w:proofErr w:type="gramStart"/>
            <w:r w:rsidRPr="00CC1FCD">
              <w:rPr>
                <w:rFonts w:ascii="Times New Roman" w:hAnsi="Times New Roman"/>
                <w:sz w:val="22"/>
                <w:szCs w:val="22"/>
                <w:lang w:val="en-GB"/>
              </w:rPr>
              <w:t>amount</w:t>
            </w:r>
            <w:proofErr w:type="gramEnd"/>
            <w:r w:rsidRPr="00CC1FCD">
              <w:rPr>
                <w:rFonts w:ascii="Times New Roman" w:hAnsi="Times New Roman"/>
                <w:sz w:val="22"/>
                <w:szCs w:val="22"/>
                <w:lang w:val="en-GB"/>
              </w:rPr>
              <w:t xml:space="preserve"> of hedging derivatives as reported in row 0480 where the hedged item </w:t>
            </w:r>
            <w:r w:rsidR="007671AE">
              <w:rPr>
                <w:rFonts w:ascii="Times New Roman" w:hAnsi="Times New Roman"/>
                <w:sz w:val="22"/>
                <w:szCs w:val="22"/>
                <w:lang w:val="en-GB"/>
              </w:rPr>
              <w:t>is</w:t>
            </w:r>
            <w:r w:rsidRPr="00CC1FCD">
              <w:rPr>
                <w:rFonts w:ascii="Times New Roman" w:hAnsi="Times New Roman"/>
                <w:sz w:val="22"/>
                <w:szCs w:val="22"/>
                <w:lang w:val="en-GB"/>
              </w:rPr>
              <w:t xml:space="preserve"> other reserve assets than those envisaged under rows 0490, 0500, 0510 or 0520.</w:t>
            </w:r>
          </w:p>
        </w:tc>
      </w:tr>
      <w:tr w:rsidR="004E670D" w:rsidRPr="00CC1FCD" w14:paraId="4D328F5B" w14:textId="77777777" w:rsidTr="00CC1FCD">
        <w:tc>
          <w:tcPr>
            <w:tcW w:w="1132" w:type="dxa"/>
            <w:vAlign w:val="center"/>
          </w:tcPr>
          <w:p w14:paraId="709A9329" w14:textId="77777777" w:rsidR="004E670D" w:rsidRPr="00CC1FCD" w:rsidRDefault="004E670D" w:rsidP="00CC1FCD">
            <w:pPr>
              <w:rPr>
                <w:rFonts w:ascii="Times New Roman" w:hAnsi="Times New Roman"/>
                <w:sz w:val="22"/>
                <w:szCs w:val="22"/>
                <w:lang w:val="en-GB"/>
              </w:rPr>
            </w:pPr>
            <w:r w:rsidRPr="00CC1FCD">
              <w:rPr>
                <w:rFonts w:ascii="Times New Roman" w:hAnsi="Times New Roman"/>
                <w:sz w:val="22"/>
                <w:szCs w:val="22"/>
                <w:lang w:val="en-GB"/>
              </w:rPr>
              <w:t>0540</w:t>
            </w:r>
          </w:p>
        </w:tc>
        <w:tc>
          <w:tcPr>
            <w:tcW w:w="7555" w:type="dxa"/>
          </w:tcPr>
          <w:p w14:paraId="750C7624" w14:textId="77777777"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b/>
                <w:bCs/>
                <w:sz w:val="22"/>
                <w:szCs w:val="22"/>
                <w:u w:val="single"/>
                <w:lang w:val="en-GB"/>
              </w:rPr>
              <w:t>Non-hedging derivatives</w:t>
            </w:r>
          </w:p>
          <w:p w14:paraId="7A1D32CB" w14:textId="0119B7E8" w:rsidR="004E670D" w:rsidRPr="00CC1FCD" w:rsidRDefault="004E670D" w:rsidP="00CC1FCD">
            <w:pPr>
              <w:rPr>
                <w:rFonts w:ascii="Times New Roman" w:hAnsi="Times New Roman"/>
                <w:b/>
                <w:bCs/>
                <w:sz w:val="22"/>
                <w:szCs w:val="22"/>
                <w:u w:val="single"/>
                <w:lang w:val="en-GB"/>
              </w:rPr>
            </w:pPr>
            <w:r w:rsidRPr="00CC1FCD">
              <w:rPr>
                <w:rFonts w:ascii="Times New Roman" w:hAnsi="Times New Roman"/>
                <w:sz w:val="22"/>
                <w:szCs w:val="22"/>
                <w:lang w:val="en-GB"/>
              </w:rPr>
              <w:t>Net outflows or net inflows that would result in the event of an early close</w:t>
            </w:r>
            <w:r w:rsidR="007671AE">
              <w:rPr>
                <w:rFonts w:ascii="Times New Roman" w:hAnsi="Times New Roman"/>
                <w:sz w:val="22"/>
                <w:szCs w:val="22"/>
                <w:lang w:val="en-GB"/>
              </w:rPr>
              <w:t>-</w:t>
            </w:r>
            <w:r w:rsidRPr="00CC1FCD">
              <w:rPr>
                <w:rFonts w:ascii="Times New Roman" w:hAnsi="Times New Roman"/>
                <w:sz w:val="22"/>
                <w:szCs w:val="22"/>
                <w:lang w:val="en-GB"/>
              </w:rPr>
              <w:t>out of all derivatives as defined in Article 2(1), point (29)</w:t>
            </w:r>
            <w:r w:rsidR="007671AE">
              <w:rPr>
                <w:rFonts w:ascii="Times New Roman" w:hAnsi="Times New Roman"/>
                <w:sz w:val="22"/>
                <w:szCs w:val="22"/>
                <w:lang w:val="en-GB"/>
              </w:rPr>
              <w:t>,</w:t>
            </w:r>
            <w:r w:rsidRPr="00CC1FCD">
              <w:rPr>
                <w:rFonts w:ascii="Times New Roman" w:hAnsi="Times New Roman"/>
                <w:sz w:val="22"/>
                <w:szCs w:val="22"/>
                <w:lang w:val="en-GB"/>
              </w:rPr>
              <w:t xml:space="preserve"> of Regulation (EU) No 600/2014</w:t>
            </w:r>
            <w:r w:rsidRPr="00CC1FCD">
              <w:rPr>
                <w:rStyle w:val="FootnoteReference"/>
                <w:rFonts w:ascii="Times New Roman" w:hAnsi="Times New Roman"/>
                <w:sz w:val="22"/>
                <w:szCs w:val="22"/>
                <w:vertAlign w:val="superscript"/>
                <w:lang w:val="en-GB"/>
              </w:rPr>
              <w:footnoteReference w:id="5"/>
            </w:r>
            <w:r w:rsidRPr="00CC1FCD">
              <w:rPr>
                <w:rFonts w:ascii="Times New Roman" w:hAnsi="Times New Roman"/>
                <w:sz w:val="22"/>
                <w:szCs w:val="22"/>
                <w:vertAlign w:val="superscript"/>
                <w:lang w:val="en-GB"/>
              </w:rPr>
              <w:t xml:space="preserve"> </w:t>
            </w:r>
            <w:r w:rsidRPr="00CC1FCD">
              <w:rPr>
                <w:rFonts w:ascii="Times New Roman" w:hAnsi="Times New Roman"/>
                <w:sz w:val="22"/>
                <w:szCs w:val="22"/>
                <w:lang w:val="en-GB"/>
              </w:rPr>
              <w:t>not designed as hedges of reserve assets.</w:t>
            </w:r>
          </w:p>
        </w:tc>
      </w:tr>
    </w:tbl>
    <w:p w14:paraId="27B26868" w14:textId="77777777" w:rsidR="004E670D" w:rsidRPr="00CC1FCD" w:rsidRDefault="004E670D" w:rsidP="004E670D">
      <w:pPr>
        <w:spacing w:before="0" w:after="0"/>
        <w:rPr>
          <w:rFonts w:ascii="Times New Roman" w:hAnsi="Times New Roman"/>
          <w:sz w:val="22"/>
          <w:szCs w:val="22"/>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70D" w:rsidRPr="00CC1FCD" w14:paraId="3CD7C6D2" w14:textId="77777777" w:rsidTr="00CC1FCD">
        <w:trPr>
          <w:trHeight w:val="638"/>
        </w:trPr>
        <w:tc>
          <w:tcPr>
            <w:tcW w:w="1129" w:type="dxa"/>
            <w:shd w:val="clear" w:color="auto" w:fill="D9D9D9" w:themeFill="background1" w:themeFillShade="D9"/>
            <w:vAlign w:val="center"/>
          </w:tcPr>
          <w:p w14:paraId="025C292A" w14:textId="77777777" w:rsidR="004E670D" w:rsidRPr="00CC1FCD" w:rsidRDefault="004E670D"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z-axis</w:t>
            </w:r>
          </w:p>
        </w:tc>
        <w:tc>
          <w:tcPr>
            <w:tcW w:w="7620" w:type="dxa"/>
            <w:shd w:val="clear" w:color="auto" w:fill="D9D9D9" w:themeFill="background1" w:themeFillShade="D9"/>
            <w:vAlign w:val="center"/>
          </w:tcPr>
          <w:p w14:paraId="24A3D965" w14:textId="77777777" w:rsidR="004E670D" w:rsidRPr="00CC1FCD" w:rsidRDefault="004E670D"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Legal references and instructions</w:t>
            </w:r>
          </w:p>
        </w:tc>
      </w:tr>
      <w:tr w:rsidR="004E670D" w:rsidRPr="00CC1FCD" w14:paraId="7BDB043B" w14:textId="77777777" w:rsidTr="00CC1FCD">
        <w:tc>
          <w:tcPr>
            <w:tcW w:w="1129" w:type="dxa"/>
            <w:vAlign w:val="center"/>
          </w:tcPr>
          <w:p w14:paraId="384416EC" w14:textId="77777777" w:rsidR="004E670D" w:rsidRPr="00CC1FCD" w:rsidRDefault="004E670D"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 xml:space="preserve">Currency </w:t>
            </w:r>
          </w:p>
        </w:tc>
        <w:tc>
          <w:tcPr>
            <w:tcW w:w="7620" w:type="dxa"/>
          </w:tcPr>
          <w:p w14:paraId="27301D26" w14:textId="218A793C" w:rsidR="004E670D" w:rsidRPr="00CC1FCD" w:rsidRDefault="004E670D" w:rsidP="00CC1FCD">
            <w:pPr>
              <w:rPr>
                <w:rFonts w:ascii="Times New Roman" w:hAnsi="Times New Roman"/>
                <w:sz w:val="22"/>
                <w:szCs w:val="22"/>
              </w:rPr>
            </w:pPr>
            <w:r w:rsidRPr="00CC1FCD">
              <w:rPr>
                <w:rFonts w:ascii="Times New Roman" w:hAnsi="Times New Roman"/>
                <w:sz w:val="22"/>
                <w:szCs w:val="22"/>
              </w:rPr>
              <w:t xml:space="preserve">The issuer should indicate which currency is in scope in accordance with paragraph </w:t>
            </w:r>
            <w:r w:rsidR="000F7DA9" w:rsidRPr="00CC1FCD">
              <w:rPr>
                <w:rFonts w:ascii="Times New Roman" w:hAnsi="Times New Roman"/>
                <w:sz w:val="22"/>
                <w:szCs w:val="22"/>
              </w:rPr>
              <w:t>16</w:t>
            </w:r>
            <w:r w:rsidR="00DE2031" w:rsidRPr="00CC1FCD">
              <w:rPr>
                <w:rFonts w:ascii="Times New Roman" w:hAnsi="Times New Roman"/>
                <w:sz w:val="22"/>
                <w:szCs w:val="22"/>
              </w:rPr>
              <w:t xml:space="preserve"> </w:t>
            </w:r>
            <w:r w:rsidRPr="00CC1FCD">
              <w:rPr>
                <w:rFonts w:ascii="Times New Roman" w:hAnsi="Times New Roman"/>
                <w:sz w:val="22"/>
                <w:szCs w:val="22"/>
              </w:rPr>
              <w:t xml:space="preserve">for the template presented.  </w:t>
            </w:r>
          </w:p>
        </w:tc>
      </w:tr>
    </w:tbl>
    <w:p w14:paraId="59F4AAF5" w14:textId="504DF270" w:rsidR="00163E6F" w:rsidRPr="00CC1FCD" w:rsidRDefault="00163E6F" w:rsidP="00E91F4B">
      <w:pPr>
        <w:pStyle w:val="Heading2"/>
      </w:pPr>
      <w:bookmarkStart w:id="51" w:name="_Toc181699807"/>
      <w:bookmarkStart w:id="52" w:name="_Toc184211450"/>
      <w:r w:rsidRPr="00CC1FCD">
        <w:lastRenderedPageBreak/>
        <w:t xml:space="preserve">PART </w:t>
      </w:r>
      <w:r w:rsidR="00E97DD2" w:rsidRPr="00CC1FCD">
        <w:t>I</w:t>
      </w:r>
      <w:r w:rsidR="00E37CE2" w:rsidRPr="00CC1FCD">
        <w:t>V</w:t>
      </w:r>
      <w:r w:rsidRPr="00CC1FCD">
        <w:t>: ADDITIONAL INFORMATION FOR SIGNIFICANCE ASSESSMENT (</w:t>
      </w:r>
      <w:r w:rsidR="00DE2031" w:rsidRPr="00CC1FCD">
        <w:t>S 10.01</w:t>
      </w:r>
      <w:r w:rsidR="003C71A3" w:rsidRPr="00CC1FCD">
        <w:t xml:space="preserve">, </w:t>
      </w:r>
      <w:r w:rsidR="00DE2031" w:rsidRPr="00CC1FCD">
        <w:t>S 10.02</w:t>
      </w:r>
      <w:r w:rsidRPr="00CC1FCD">
        <w:t xml:space="preserve"> and </w:t>
      </w:r>
      <w:r w:rsidR="00DE2031" w:rsidRPr="00CC1FCD">
        <w:t>S 10.03</w:t>
      </w:r>
      <w:r w:rsidRPr="00CC1FCD">
        <w:t>)</w:t>
      </w:r>
      <w:bookmarkEnd w:id="51"/>
      <w:bookmarkEnd w:id="52"/>
    </w:p>
    <w:p w14:paraId="1A4F5FF5" w14:textId="52B0DFF3" w:rsidR="00163E6F" w:rsidRPr="00CC1FCD" w:rsidRDefault="00163E6F" w:rsidP="00E91F4B">
      <w:pPr>
        <w:pStyle w:val="Instructionsberschrift2"/>
        <w:numPr>
          <w:ilvl w:val="0"/>
          <w:numId w:val="13"/>
        </w:numPr>
        <w:rPr>
          <w:sz w:val="22"/>
          <w:szCs w:val="22"/>
        </w:rPr>
      </w:pPr>
      <w:bookmarkStart w:id="53" w:name="_Toc181699808"/>
      <w:bookmarkStart w:id="54" w:name="_Toc184211451"/>
      <w:r w:rsidRPr="00CC1FCD">
        <w:rPr>
          <w:sz w:val="22"/>
          <w:szCs w:val="22"/>
        </w:rPr>
        <w:t xml:space="preserve">General remarks on </w:t>
      </w:r>
      <w:r w:rsidR="007671AE">
        <w:rPr>
          <w:sz w:val="22"/>
          <w:szCs w:val="22"/>
        </w:rPr>
        <w:t>t</w:t>
      </w:r>
      <w:r w:rsidRPr="00CC1FCD">
        <w:rPr>
          <w:sz w:val="22"/>
          <w:szCs w:val="22"/>
        </w:rPr>
        <w:t xml:space="preserve">emplate </w:t>
      </w:r>
      <w:r w:rsidR="00DE2031" w:rsidRPr="00CC1FCD">
        <w:rPr>
          <w:sz w:val="22"/>
          <w:szCs w:val="22"/>
        </w:rPr>
        <w:t>S 10.01</w:t>
      </w:r>
      <w:bookmarkEnd w:id="53"/>
      <w:bookmarkEnd w:id="54"/>
    </w:p>
    <w:p w14:paraId="72210381" w14:textId="2A6A62DF" w:rsidR="00163E6F" w:rsidRPr="00CC1FCD" w:rsidRDefault="00163E6F" w:rsidP="00C76F31">
      <w:pPr>
        <w:pStyle w:val="InstructionsText2"/>
        <w:rPr>
          <w:lang w:val="en-GB"/>
        </w:rPr>
      </w:pPr>
      <w:r w:rsidRPr="00CC1FCD">
        <w:rPr>
          <w:lang w:val="en-GB"/>
        </w:rPr>
        <w:t xml:space="preserve">Template </w:t>
      </w:r>
      <w:r w:rsidR="00DE2031" w:rsidRPr="00CC1FCD">
        <w:rPr>
          <w:lang w:val="en-GB"/>
        </w:rPr>
        <w:t>S 10.01</w:t>
      </w:r>
      <w:r w:rsidRPr="00CC1FCD">
        <w:rPr>
          <w:lang w:val="en-GB"/>
        </w:rPr>
        <w:t xml:space="preserve"> include</w:t>
      </w:r>
      <w:r w:rsidR="00D9319D" w:rsidRPr="00CC1FCD">
        <w:rPr>
          <w:lang w:val="en-GB"/>
        </w:rPr>
        <w:t>s</w:t>
      </w:r>
      <w:r w:rsidRPr="00CC1FCD">
        <w:rPr>
          <w:lang w:val="en-GB"/>
        </w:rPr>
        <w:t xml:space="preserve"> necessary information for the significance assessment following Article 43 of Regulation (EU) 2023/1114 and </w:t>
      </w:r>
      <w:r w:rsidR="00203ADF" w:rsidRPr="00CC1FCD">
        <w:rPr>
          <w:lang w:val="en-GB"/>
        </w:rPr>
        <w:t xml:space="preserve">Commission Delegated Regulation (EU) </w:t>
      </w:r>
      <w:r w:rsidR="00AD7DBB" w:rsidRPr="00CC1FCD">
        <w:rPr>
          <w:lang w:val="en-GB"/>
        </w:rPr>
        <w:t>2024/</w:t>
      </w:r>
      <w:r w:rsidR="00AD660B" w:rsidRPr="00CC1FCD">
        <w:rPr>
          <w:lang w:val="en-GB"/>
        </w:rPr>
        <w:t>1506</w:t>
      </w:r>
      <w:r w:rsidR="002252E0" w:rsidRPr="00CC1FCD">
        <w:rPr>
          <w:rStyle w:val="FootnoteReference"/>
          <w:lang w:val="en-GB"/>
        </w:rPr>
        <w:footnoteReference w:id="6"/>
      </w:r>
      <w:r w:rsidRPr="00CC1FCD">
        <w:rPr>
          <w:lang w:val="en-GB"/>
        </w:rPr>
        <w:t xml:space="preserve">, that </w:t>
      </w:r>
      <w:r w:rsidR="007671AE">
        <w:rPr>
          <w:lang w:val="en-GB"/>
        </w:rPr>
        <w:t>is</w:t>
      </w:r>
      <w:r w:rsidRPr="00CC1FCD">
        <w:rPr>
          <w:lang w:val="en-GB"/>
        </w:rPr>
        <w:t xml:space="preserve"> not covered by any other templates under Commission </w:t>
      </w:r>
      <w:r w:rsidR="00272760" w:rsidRPr="00CC1FCD">
        <w:rPr>
          <w:lang w:val="en-GB"/>
        </w:rPr>
        <w:t xml:space="preserve">Implementing </w:t>
      </w:r>
      <w:r w:rsidRPr="00CC1FCD">
        <w:rPr>
          <w:lang w:val="en-GB"/>
        </w:rPr>
        <w:t>Regulation (EU) 202</w:t>
      </w:r>
      <w:r w:rsidR="00E37CE2" w:rsidRPr="00CC1FCD">
        <w:rPr>
          <w:lang w:val="en-GB"/>
        </w:rPr>
        <w:t>4</w:t>
      </w:r>
      <w:r w:rsidRPr="00CC1FCD">
        <w:rPr>
          <w:lang w:val="en-GB"/>
        </w:rPr>
        <w:t>/</w:t>
      </w:r>
      <w:r w:rsidR="00CA106C" w:rsidRPr="00CC1FCD">
        <w:rPr>
          <w:lang w:val="en-GB"/>
        </w:rPr>
        <w:t>2902</w:t>
      </w:r>
      <w:r w:rsidR="0073743F" w:rsidRPr="00CC1FCD">
        <w:rPr>
          <w:rStyle w:val="FootnoteReference"/>
          <w:lang w:val="en-GB"/>
        </w:rPr>
        <w:footnoteReference w:id="7"/>
      </w:r>
      <w:r w:rsidRPr="00CC1FCD">
        <w:rPr>
          <w:lang w:val="en-GB"/>
        </w:rPr>
        <w:t xml:space="preserve"> or by any other </w:t>
      </w:r>
      <w:r w:rsidR="007671AE">
        <w:rPr>
          <w:lang w:val="en-GB"/>
        </w:rPr>
        <w:t>p</w:t>
      </w:r>
      <w:r w:rsidRPr="00CC1FCD">
        <w:rPr>
          <w:lang w:val="en-GB"/>
        </w:rPr>
        <w:t xml:space="preserve">arts </w:t>
      </w:r>
      <w:r w:rsidR="007671AE">
        <w:rPr>
          <w:lang w:val="en-GB"/>
        </w:rPr>
        <w:t>of</w:t>
      </w:r>
      <w:r w:rsidRPr="00CC1FCD">
        <w:rPr>
          <w:lang w:val="en-GB"/>
        </w:rPr>
        <w:t xml:space="preserve"> this Annex </w:t>
      </w:r>
      <w:r w:rsidR="007671AE">
        <w:rPr>
          <w:lang w:val="en-GB"/>
        </w:rPr>
        <w:t>to</w:t>
      </w:r>
      <w:r w:rsidRPr="00CC1FCD">
        <w:rPr>
          <w:lang w:val="en-GB"/>
        </w:rPr>
        <w:t xml:space="preserve"> these </w:t>
      </w:r>
      <w:r w:rsidR="007671AE">
        <w:rPr>
          <w:lang w:val="en-GB"/>
        </w:rPr>
        <w:t>G</w:t>
      </w:r>
      <w:r w:rsidRPr="00CC1FCD">
        <w:rPr>
          <w:lang w:val="en-GB"/>
        </w:rPr>
        <w:t>uidelines.</w:t>
      </w:r>
    </w:p>
    <w:p w14:paraId="77907355" w14:textId="4E5FD1D0" w:rsidR="00163E6F" w:rsidRPr="00CC1FCD" w:rsidRDefault="00163E6F" w:rsidP="00E91F4B">
      <w:pPr>
        <w:pStyle w:val="Instructionsberschrift2"/>
        <w:numPr>
          <w:ilvl w:val="0"/>
          <w:numId w:val="13"/>
        </w:numPr>
        <w:rPr>
          <w:sz w:val="22"/>
          <w:szCs w:val="22"/>
        </w:rPr>
      </w:pPr>
      <w:bookmarkStart w:id="56" w:name="_Toc181699809"/>
      <w:bookmarkStart w:id="57" w:name="_Toc184211452"/>
      <w:r w:rsidRPr="00CC1FCD">
        <w:rPr>
          <w:sz w:val="22"/>
          <w:szCs w:val="22"/>
        </w:rPr>
        <w:t xml:space="preserve">Instructions concerning specific positions of </w:t>
      </w:r>
      <w:r w:rsidR="007671AE">
        <w:rPr>
          <w:sz w:val="22"/>
          <w:szCs w:val="22"/>
        </w:rPr>
        <w:t>t</w:t>
      </w:r>
      <w:r w:rsidRPr="00CC1FCD">
        <w:rPr>
          <w:sz w:val="22"/>
          <w:szCs w:val="22"/>
        </w:rPr>
        <w:t xml:space="preserve">emplate </w:t>
      </w:r>
      <w:r w:rsidR="00DE2031" w:rsidRPr="00CC1FCD">
        <w:rPr>
          <w:sz w:val="22"/>
          <w:szCs w:val="22"/>
        </w:rPr>
        <w:t>S 10.01</w:t>
      </w:r>
      <w:bookmarkEnd w:id="56"/>
      <w:bookmarkEnd w:id="57"/>
    </w:p>
    <w:tbl>
      <w:tblPr>
        <w:tblStyle w:val="TableGrid"/>
        <w:tblW w:w="8687" w:type="dxa"/>
        <w:tblInd w:w="539" w:type="dxa"/>
        <w:tblLook w:val="04A0" w:firstRow="1" w:lastRow="0" w:firstColumn="1" w:lastColumn="0" w:noHBand="0" w:noVBand="1"/>
      </w:tblPr>
      <w:tblGrid>
        <w:gridCol w:w="1132"/>
        <w:gridCol w:w="7555"/>
      </w:tblGrid>
      <w:tr w:rsidR="00163E6F" w:rsidRPr="00CC1FCD" w14:paraId="1E5CE38C" w14:textId="77777777" w:rsidTr="00BF05E0">
        <w:tc>
          <w:tcPr>
            <w:tcW w:w="1132" w:type="dxa"/>
            <w:shd w:val="clear" w:color="auto" w:fill="D9D9D9" w:themeFill="background1" w:themeFillShade="D9"/>
            <w:vAlign w:val="center"/>
          </w:tcPr>
          <w:p w14:paraId="7BA56D4D"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Rows</w:t>
            </w:r>
          </w:p>
        </w:tc>
        <w:tc>
          <w:tcPr>
            <w:tcW w:w="7555" w:type="dxa"/>
            <w:shd w:val="clear" w:color="auto" w:fill="D9D9D9" w:themeFill="background1" w:themeFillShade="D9"/>
            <w:vAlign w:val="center"/>
          </w:tcPr>
          <w:p w14:paraId="145F12B2"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Legal references and instructions</w:t>
            </w:r>
          </w:p>
        </w:tc>
      </w:tr>
      <w:tr w:rsidR="00163E6F" w:rsidRPr="00CC1FCD" w14:paraId="08EA9276" w14:textId="77777777" w:rsidTr="00BF05E0">
        <w:tc>
          <w:tcPr>
            <w:tcW w:w="1132" w:type="dxa"/>
            <w:vAlign w:val="center"/>
          </w:tcPr>
          <w:p w14:paraId="6C924421"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0010</w:t>
            </w:r>
          </w:p>
        </w:tc>
        <w:tc>
          <w:tcPr>
            <w:tcW w:w="7555" w:type="dxa"/>
            <w:vAlign w:val="center"/>
          </w:tcPr>
          <w:p w14:paraId="424C90C3" w14:textId="6F8C8C20"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Market capitalisation of the token</w:t>
            </w:r>
            <w:r w:rsidR="0022799D" w:rsidRPr="00CC1FCD">
              <w:rPr>
                <w:rFonts w:ascii="Times New Roman" w:hAnsi="Times New Roman"/>
                <w:b/>
                <w:bCs/>
                <w:sz w:val="22"/>
                <w:szCs w:val="22"/>
                <w:u w:val="single"/>
                <w:lang w:val="en-GB"/>
              </w:rPr>
              <w:t xml:space="preserve"> within the EU</w:t>
            </w:r>
          </w:p>
          <w:p w14:paraId="0E5A5C8A"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Following Article 43(1)(b) of Regulation (EU) 2023/1114, the market capitalisation of the token as at the end of the reporting period.</w:t>
            </w:r>
          </w:p>
          <w:p w14:paraId="587AC91D"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Only the market capitalisation of the token within the EU to be reported.</w:t>
            </w:r>
          </w:p>
          <w:p w14:paraId="3B9CC97D" w14:textId="40DBE925" w:rsidR="000D0BDD" w:rsidRPr="00CC1FCD" w:rsidRDefault="000D0BDD" w:rsidP="00BF05E0">
            <w:pPr>
              <w:rPr>
                <w:rFonts w:ascii="Times New Roman" w:hAnsi="Times New Roman"/>
                <w:sz w:val="22"/>
                <w:szCs w:val="22"/>
                <w:lang w:val="en-GB"/>
              </w:rPr>
            </w:pPr>
            <w:r w:rsidRPr="00CC1FCD">
              <w:rPr>
                <w:rFonts w:ascii="Times New Roman" w:hAnsi="Times New Roman"/>
                <w:sz w:val="22"/>
                <w:szCs w:val="22"/>
                <w:lang w:val="en-GB"/>
              </w:rPr>
              <w:t xml:space="preserve">In cases </w:t>
            </w:r>
            <w:r w:rsidR="007671AE">
              <w:rPr>
                <w:rFonts w:ascii="Times New Roman" w:hAnsi="Times New Roman"/>
                <w:sz w:val="22"/>
                <w:szCs w:val="22"/>
                <w:lang w:val="en-GB"/>
              </w:rPr>
              <w:t>where</w:t>
            </w:r>
            <w:r w:rsidRPr="00CC1FCD">
              <w:rPr>
                <w:rFonts w:ascii="Times New Roman" w:hAnsi="Times New Roman"/>
                <w:sz w:val="22"/>
                <w:szCs w:val="22"/>
                <w:lang w:val="en-GB"/>
              </w:rPr>
              <w:t xml:space="preserve"> the same token is issued by various issuers in the EU or outside the EU, the market capitalisation within the EU of the token issued by all the issuers, in the EU or outside the EU, should be reported here.</w:t>
            </w:r>
          </w:p>
        </w:tc>
      </w:tr>
      <w:tr w:rsidR="00163E6F" w:rsidRPr="00CC1FCD" w14:paraId="15C893FD" w14:textId="77777777" w:rsidTr="00BF05E0">
        <w:tc>
          <w:tcPr>
            <w:tcW w:w="1132" w:type="dxa"/>
            <w:vAlign w:val="center"/>
          </w:tcPr>
          <w:p w14:paraId="2A016860"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0020</w:t>
            </w:r>
          </w:p>
        </w:tc>
        <w:tc>
          <w:tcPr>
            <w:tcW w:w="7555" w:type="dxa"/>
            <w:vAlign w:val="center"/>
          </w:tcPr>
          <w:p w14:paraId="130DE47F" w14:textId="34925572"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Market capitalisation of the token on an international scale</w:t>
            </w:r>
            <w:r w:rsidR="0022799D" w:rsidRPr="00CC1FCD">
              <w:rPr>
                <w:rFonts w:ascii="Times New Roman" w:hAnsi="Times New Roman"/>
                <w:b/>
                <w:bCs/>
                <w:sz w:val="22"/>
                <w:szCs w:val="22"/>
                <w:u w:val="single"/>
                <w:lang w:val="en-GB"/>
              </w:rPr>
              <w:t xml:space="preserve"> outside of the EU</w:t>
            </w:r>
          </w:p>
          <w:p w14:paraId="1703A9C4" w14:textId="4FFD4074"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 xml:space="preserve">Following Article 43(1)(b) of Regulation (EU) 2023/1114 and as further specified by Article 2(1)(c) of </w:t>
            </w:r>
            <w:r w:rsidR="002252E0" w:rsidRPr="00CC1FCD">
              <w:rPr>
                <w:rFonts w:ascii="Times New Roman" w:eastAsia="Arial" w:hAnsi="Times New Roman"/>
                <w:sz w:val="22"/>
                <w:szCs w:val="22"/>
                <w:lang w:val="en-GB" w:eastAsia="de-DE"/>
              </w:rPr>
              <w:t xml:space="preserve">Commission Delegated Regulation (EU) </w:t>
            </w:r>
            <w:r w:rsidR="00E27E76" w:rsidRPr="00CC1FCD">
              <w:rPr>
                <w:rFonts w:ascii="Times New Roman" w:hAnsi="Times New Roman"/>
                <w:sz w:val="22"/>
                <w:szCs w:val="22"/>
                <w:lang w:val="en-GB"/>
              </w:rPr>
              <w:t>2024/1506</w:t>
            </w:r>
            <w:r w:rsidRPr="00CC1FCD">
              <w:rPr>
                <w:rFonts w:ascii="Times New Roman" w:eastAsia="Arial" w:hAnsi="Times New Roman"/>
                <w:i/>
                <w:iCs/>
                <w:sz w:val="22"/>
                <w:szCs w:val="22"/>
                <w:lang w:val="en-GB" w:eastAsia="de-DE"/>
              </w:rPr>
              <w:t>,</w:t>
            </w:r>
            <w:r w:rsidRPr="00CC1FCD">
              <w:rPr>
                <w:rFonts w:ascii="Times New Roman" w:hAnsi="Times New Roman"/>
                <w:sz w:val="22"/>
                <w:szCs w:val="22"/>
                <w:lang w:val="en-GB"/>
              </w:rPr>
              <w:t xml:space="preserve"> the market capitalisation of the token on an international scale as at the end of the reporting period.</w:t>
            </w:r>
          </w:p>
          <w:p w14:paraId="761D0A61"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 xml:space="preserve">Only the market capitalisation of the token outside of the EU to be reported. </w:t>
            </w:r>
          </w:p>
          <w:p w14:paraId="02947E94" w14:textId="0CEB0515" w:rsidR="000D0BDD" w:rsidRPr="00CC1FCD" w:rsidRDefault="000D0BDD" w:rsidP="00BF05E0">
            <w:pPr>
              <w:rPr>
                <w:rFonts w:ascii="Times New Roman" w:hAnsi="Times New Roman"/>
                <w:sz w:val="22"/>
                <w:szCs w:val="22"/>
                <w:lang w:val="en-GB"/>
              </w:rPr>
            </w:pPr>
            <w:r w:rsidRPr="00CC1FCD">
              <w:rPr>
                <w:rFonts w:ascii="Times New Roman" w:hAnsi="Times New Roman"/>
                <w:sz w:val="22"/>
                <w:szCs w:val="22"/>
                <w:lang w:val="en-GB"/>
              </w:rPr>
              <w:t xml:space="preserve">In cases </w:t>
            </w:r>
            <w:r w:rsidR="007671AE">
              <w:rPr>
                <w:rFonts w:ascii="Times New Roman" w:hAnsi="Times New Roman"/>
                <w:sz w:val="22"/>
                <w:szCs w:val="22"/>
                <w:lang w:val="en-GB"/>
              </w:rPr>
              <w:t>where</w:t>
            </w:r>
            <w:r w:rsidRPr="00CC1FCD">
              <w:rPr>
                <w:rFonts w:ascii="Times New Roman" w:hAnsi="Times New Roman"/>
                <w:sz w:val="22"/>
                <w:szCs w:val="22"/>
                <w:lang w:val="en-GB"/>
              </w:rPr>
              <w:t xml:space="preserve"> the same token is issued by various issuers in the EU or outside the EU, the market capitalisation outside the EU of the token issued by all the issuers, in the EU or outside the EU, should be reported here.</w:t>
            </w:r>
          </w:p>
        </w:tc>
      </w:tr>
      <w:tr w:rsidR="00163E6F" w:rsidRPr="00CC1FCD" w14:paraId="12EF54C6" w14:textId="77777777" w:rsidTr="00BF05E0">
        <w:tc>
          <w:tcPr>
            <w:tcW w:w="1132" w:type="dxa"/>
            <w:vAlign w:val="center"/>
          </w:tcPr>
          <w:p w14:paraId="4AE2086F"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0030</w:t>
            </w:r>
          </w:p>
        </w:tc>
        <w:tc>
          <w:tcPr>
            <w:tcW w:w="7555" w:type="dxa"/>
            <w:vAlign w:val="center"/>
          </w:tcPr>
          <w:p w14:paraId="5C6A6BA8" w14:textId="1A639B99"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The issuer`s designation as ‘gatekeeper’ of ‘core platform services’ in accordance with Regulation (EU) 2022/1925</w:t>
            </w:r>
            <w:r w:rsidR="00FB2942" w:rsidRPr="00CC1FCD">
              <w:rPr>
                <w:rStyle w:val="FootnoteReference"/>
                <w:b/>
                <w:bCs/>
                <w:u w:val="single"/>
                <w:lang w:val="en-GB"/>
              </w:rPr>
              <w:footnoteReference w:id="8"/>
            </w:r>
          </w:p>
          <w:p w14:paraId="79B0E3FE" w14:textId="2F2E9F9E"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lastRenderedPageBreak/>
              <w:t>The indication of the issuer, whether the significance criteria specified in Article 43</w:t>
            </w:r>
            <w:r w:rsidR="00097EC0" w:rsidRPr="00CC1FCD">
              <w:rPr>
                <w:rFonts w:ascii="Times New Roman" w:hAnsi="Times New Roman"/>
                <w:sz w:val="22"/>
                <w:szCs w:val="22"/>
                <w:lang w:val="en-GB"/>
              </w:rPr>
              <w:t>(1)</w:t>
            </w:r>
            <w:r w:rsidRPr="00CC1FCD">
              <w:rPr>
                <w:rFonts w:ascii="Times New Roman" w:hAnsi="Times New Roman"/>
                <w:sz w:val="22"/>
                <w:szCs w:val="22"/>
                <w:lang w:val="en-GB"/>
              </w:rPr>
              <w:t xml:space="preserve">(d) of Regulation (EU) 2023/1114 </w:t>
            </w:r>
            <w:r w:rsidR="00E95CC9">
              <w:rPr>
                <w:rFonts w:ascii="Times New Roman" w:hAnsi="Times New Roman"/>
                <w:sz w:val="22"/>
                <w:szCs w:val="22"/>
                <w:lang w:val="en-GB"/>
              </w:rPr>
              <w:t>are</w:t>
            </w:r>
            <w:r w:rsidRPr="00CC1FCD">
              <w:rPr>
                <w:rFonts w:ascii="Times New Roman" w:hAnsi="Times New Roman"/>
                <w:sz w:val="22"/>
                <w:szCs w:val="22"/>
                <w:lang w:val="en-GB"/>
              </w:rPr>
              <w:t xml:space="preserve"> met or not.</w:t>
            </w:r>
          </w:p>
          <w:p w14:paraId="122790EB"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sz w:val="22"/>
                <w:szCs w:val="22"/>
                <w:lang w:val="en-GB"/>
              </w:rPr>
              <w:t>`Yes` or `No` value to be reported in this cell.</w:t>
            </w:r>
          </w:p>
        </w:tc>
      </w:tr>
      <w:tr w:rsidR="00163E6F" w:rsidRPr="00CC1FCD" w14:paraId="0A3383D3" w14:textId="77777777" w:rsidTr="00BF05E0">
        <w:tc>
          <w:tcPr>
            <w:tcW w:w="1132" w:type="dxa"/>
            <w:vAlign w:val="center"/>
          </w:tcPr>
          <w:p w14:paraId="0293FBC3"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lastRenderedPageBreak/>
              <w:t>0040</w:t>
            </w:r>
          </w:p>
        </w:tc>
        <w:tc>
          <w:tcPr>
            <w:tcW w:w="7555" w:type="dxa"/>
            <w:vAlign w:val="center"/>
          </w:tcPr>
          <w:p w14:paraId="022E146D" w14:textId="4BF4C5BC"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Issuance of other ART or EMT</w:t>
            </w:r>
          </w:p>
          <w:p w14:paraId="3CD25000" w14:textId="78496829"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The indication of the issuer, whether following the significance criteria specified in Article 43</w:t>
            </w:r>
            <w:r w:rsidR="00D1388D" w:rsidRPr="00CC1FCD">
              <w:rPr>
                <w:rFonts w:ascii="Times New Roman" w:hAnsi="Times New Roman"/>
                <w:sz w:val="22"/>
                <w:szCs w:val="22"/>
                <w:lang w:val="en-GB"/>
              </w:rPr>
              <w:t>(1)</w:t>
            </w:r>
            <w:r w:rsidRPr="00CC1FCD">
              <w:rPr>
                <w:rFonts w:ascii="Times New Roman" w:hAnsi="Times New Roman"/>
                <w:sz w:val="22"/>
                <w:szCs w:val="22"/>
                <w:lang w:val="en-GB"/>
              </w:rPr>
              <w:t>(g) of Regulation (EU) 2023/1114 more than one asset-referenced token and/or e-money token is issued by the issuer.</w:t>
            </w:r>
          </w:p>
          <w:p w14:paraId="6B53D587"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sz w:val="22"/>
                <w:szCs w:val="22"/>
                <w:lang w:val="en-GB"/>
              </w:rPr>
              <w:t>`Yes` or `No` value to be reported in this cell.</w:t>
            </w:r>
          </w:p>
        </w:tc>
      </w:tr>
      <w:tr w:rsidR="00163E6F" w:rsidRPr="00CC1FCD" w14:paraId="3C1B8333" w14:textId="77777777" w:rsidTr="00BF05E0">
        <w:tc>
          <w:tcPr>
            <w:tcW w:w="1132" w:type="dxa"/>
            <w:vAlign w:val="center"/>
          </w:tcPr>
          <w:p w14:paraId="7554D8CA"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0050</w:t>
            </w:r>
          </w:p>
        </w:tc>
        <w:tc>
          <w:tcPr>
            <w:tcW w:w="7555" w:type="dxa"/>
            <w:vAlign w:val="center"/>
          </w:tcPr>
          <w:p w14:paraId="530DC4DA"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Provision of crypto-asset service by the issuer</w:t>
            </w:r>
          </w:p>
          <w:p w14:paraId="5245C89E" w14:textId="59773FBB"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The indication of the issuer, whether following the significance criteria specified in Article 43</w:t>
            </w:r>
            <w:r w:rsidR="00097EC0" w:rsidRPr="00CC1FCD">
              <w:rPr>
                <w:rFonts w:ascii="Times New Roman" w:hAnsi="Times New Roman"/>
                <w:sz w:val="22"/>
                <w:szCs w:val="22"/>
                <w:lang w:val="en-GB"/>
              </w:rPr>
              <w:t>(1)</w:t>
            </w:r>
            <w:r w:rsidRPr="00CC1FCD">
              <w:rPr>
                <w:rFonts w:ascii="Times New Roman" w:hAnsi="Times New Roman"/>
                <w:sz w:val="22"/>
                <w:szCs w:val="22"/>
                <w:lang w:val="en-GB"/>
              </w:rPr>
              <w:t>(g) of Regulation (EU) 2023/1114 the issuer provides at least one crypto-asset service.</w:t>
            </w:r>
          </w:p>
          <w:p w14:paraId="5A2E450A"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sz w:val="22"/>
                <w:szCs w:val="22"/>
                <w:lang w:val="en-GB"/>
              </w:rPr>
              <w:t>`Yes` or `No` value to be reported in this cell.</w:t>
            </w:r>
          </w:p>
        </w:tc>
      </w:tr>
    </w:tbl>
    <w:p w14:paraId="06850AF5" w14:textId="77777777" w:rsidR="00163E6F" w:rsidRPr="00CC1FCD" w:rsidRDefault="00163E6F" w:rsidP="000F7DA9">
      <w:pPr>
        <w:pStyle w:val="InstructionsText2"/>
        <w:numPr>
          <w:ilvl w:val="0"/>
          <w:numId w:val="0"/>
        </w:numPr>
        <w:rPr>
          <w:lang w:val="en-GB"/>
        </w:rPr>
      </w:pPr>
    </w:p>
    <w:tbl>
      <w:tblPr>
        <w:tblStyle w:val="TableGrid"/>
        <w:tblW w:w="8687" w:type="dxa"/>
        <w:tblInd w:w="539" w:type="dxa"/>
        <w:tblLook w:val="04A0" w:firstRow="1" w:lastRow="0" w:firstColumn="1" w:lastColumn="0" w:noHBand="0" w:noVBand="1"/>
      </w:tblPr>
      <w:tblGrid>
        <w:gridCol w:w="1132"/>
        <w:gridCol w:w="7555"/>
      </w:tblGrid>
      <w:tr w:rsidR="00163E6F" w:rsidRPr="00CC1FCD" w14:paraId="29828A41" w14:textId="77777777" w:rsidTr="00BF05E0">
        <w:tc>
          <w:tcPr>
            <w:tcW w:w="1132" w:type="dxa"/>
            <w:shd w:val="clear" w:color="auto" w:fill="D9D9D9" w:themeFill="background1" w:themeFillShade="D9"/>
            <w:vAlign w:val="center"/>
          </w:tcPr>
          <w:p w14:paraId="3901FACC"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Columns</w:t>
            </w:r>
          </w:p>
        </w:tc>
        <w:tc>
          <w:tcPr>
            <w:tcW w:w="7555" w:type="dxa"/>
            <w:shd w:val="clear" w:color="auto" w:fill="D9D9D9" w:themeFill="background1" w:themeFillShade="D9"/>
            <w:vAlign w:val="center"/>
          </w:tcPr>
          <w:p w14:paraId="1BFF3AE1"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Legal references and instructions</w:t>
            </w:r>
          </w:p>
        </w:tc>
      </w:tr>
      <w:tr w:rsidR="00163E6F" w:rsidRPr="00CC1FCD" w14:paraId="6701BEA4" w14:textId="77777777" w:rsidTr="00BF05E0">
        <w:tc>
          <w:tcPr>
            <w:tcW w:w="1132" w:type="dxa"/>
            <w:vAlign w:val="center"/>
          </w:tcPr>
          <w:p w14:paraId="0FFEA227"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0010</w:t>
            </w:r>
          </w:p>
        </w:tc>
        <w:tc>
          <w:tcPr>
            <w:tcW w:w="7555" w:type="dxa"/>
            <w:vAlign w:val="center"/>
          </w:tcPr>
          <w:p w14:paraId="369F7109"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Amount</w:t>
            </w:r>
          </w:p>
          <w:p w14:paraId="6FF00BCE" w14:textId="617687E5"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Amount to be reported as defined for rows 0010 and 0020 of this template.</w:t>
            </w:r>
          </w:p>
        </w:tc>
      </w:tr>
      <w:tr w:rsidR="00163E6F" w:rsidRPr="00CC1FCD" w14:paraId="56301B54" w14:textId="77777777" w:rsidTr="00BF05E0">
        <w:tc>
          <w:tcPr>
            <w:tcW w:w="1132" w:type="dxa"/>
            <w:vAlign w:val="center"/>
          </w:tcPr>
          <w:p w14:paraId="48FB8D7E" w14:textId="77777777"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0020</w:t>
            </w:r>
          </w:p>
        </w:tc>
        <w:tc>
          <w:tcPr>
            <w:tcW w:w="7555" w:type="dxa"/>
            <w:vAlign w:val="center"/>
          </w:tcPr>
          <w:p w14:paraId="756FF489" w14:textId="77777777" w:rsidR="00163E6F" w:rsidRPr="00CC1FCD" w:rsidRDefault="00163E6F" w:rsidP="00BF05E0">
            <w:pPr>
              <w:rPr>
                <w:rFonts w:ascii="Times New Roman" w:hAnsi="Times New Roman"/>
                <w:b/>
                <w:bCs/>
                <w:sz w:val="22"/>
                <w:szCs w:val="22"/>
                <w:u w:val="single"/>
                <w:lang w:val="en-GB"/>
              </w:rPr>
            </w:pPr>
            <w:r w:rsidRPr="00CC1FCD">
              <w:rPr>
                <w:rFonts w:ascii="Times New Roman" w:hAnsi="Times New Roman"/>
                <w:b/>
                <w:bCs/>
                <w:sz w:val="22"/>
                <w:szCs w:val="22"/>
                <w:u w:val="single"/>
                <w:lang w:val="en-GB"/>
              </w:rPr>
              <w:t>Yes/No</w:t>
            </w:r>
          </w:p>
          <w:p w14:paraId="63051CD6" w14:textId="2AAE3196" w:rsidR="00163E6F" w:rsidRPr="00CC1FCD" w:rsidRDefault="00163E6F" w:rsidP="00BF05E0">
            <w:pPr>
              <w:rPr>
                <w:rFonts w:ascii="Times New Roman" w:hAnsi="Times New Roman"/>
                <w:sz w:val="22"/>
                <w:szCs w:val="22"/>
                <w:lang w:val="en-GB"/>
              </w:rPr>
            </w:pPr>
            <w:r w:rsidRPr="00CC1FCD">
              <w:rPr>
                <w:rFonts w:ascii="Times New Roman" w:hAnsi="Times New Roman"/>
                <w:sz w:val="22"/>
                <w:szCs w:val="22"/>
                <w:lang w:val="en-GB"/>
              </w:rPr>
              <w:t>`Yes` or `No` values to be reported, following the specifications provided for rows 0030</w:t>
            </w:r>
            <w:r w:rsidR="00E95CC9">
              <w:rPr>
                <w:rFonts w:ascii="Times New Roman" w:hAnsi="Times New Roman"/>
                <w:sz w:val="22"/>
                <w:szCs w:val="22"/>
                <w:lang w:val="en-GB"/>
              </w:rPr>
              <w:t>–</w:t>
            </w:r>
            <w:r w:rsidRPr="00CC1FCD">
              <w:rPr>
                <w:rFonts w:ascii="Times New Roman" w:hAnsi="Times New Roman"/>
                <w:sz w:val="22"/>
                <w:szCs w:val="22"/>
                <w:lang w:val="en-GB"/>
              </w:rPr>
              <w:t>0050 of this template.</w:t>
            </w:r>
          </w:p>
        </w:tc>
      </w:tr>
    </w:tbl>
    <w:p w14:paraId="0DEBC066" w14:textId="77B12261" w:rsidR="00163E6F" w:rsidRPr="00CC1FCD" w:rsidRDefault="00163E6F" w:rsidP="00E91F4B">
      <w:pPr>
        <w:pStyle w:val="Instructionsberschrift2"/>
        <w:numPr>
          <w:ilvl w:val="0"/>
          <w:numId w:val="13"/>
        </w:numPr>
        <w:rPr>
          <w:sz w:val="22"/>
          <w:szCs w:val="22"/>
        </w:rPr>
      </w:pPr>
      <w:bookmarkStart w:id="58" w:name="_Toc181699810"/>
      <w:bookmarkStart w:id="59" w:name="_Toc184211453"/>
      <w:r w:rsidRPr="00CC1FCD">
        <w:rPr>
          <w:sz w:val="22"/>
          <w:szCs w:val="22"/>
        </w:rPr>
        <w:t xml:space="preserve">General remarks on </w:t>
      </w:r>
      <w:r w:rsidR="00E95CC9">
        <w:rPr>
          <w:sz w:val="22"/>
          <w:szCs w:val="22"/>
        </w:rPr>
        <w:t>t</w:t>
      </w:r>
      <w:r w:rsidRPr="00CC1FCD">
        <w:rPr>
          <w:sz w:val="22"/>
          <w:szCs w:val="22"/>
        </w:rPr>
        <w:t xml:space="preserve">emplate </w:t>
      </w:r>
      <w:r w:rsidR="00DE2031" w:rsidRPr="00CC1FCD">
        <w:rPr>
          <w:sz w:val="22"/>
          <w:szCs w:val="22"/>
        </w:rPr>
        <w:t>S 10.02</w:t>
      </w:r>
      <w:bookmarkEnd w:id="58"/>
      <w:bookmarkEnd w:id="59"/>
    </w:p>
    <w:p w14:paraId="2840C3A6" w14:textId="06A78C3A" w:rsidR="00163E6F" w:rsidRPr="00CC1FCD" w:rsidRDefault="00163E6F" w:rsidP="00C76F31">
      <w:pPr>
        <w:pStyle w:val="InstructionsText2"/>
        <w:rPr>
          <w:lang w:val="en-GB"/>
        </w:rPr>
      </w:pPr>
      <w:r w:rsidRPr="00CC1FCD">
        <w:rPr>
          <w:lang w:val="en-GB"/>
        </w:rPr>
        <w:t xml:space="preserve">Template </w:t>
      </w:r>
      <w:r w:rsidR="00DE2031" w:rsidRPr="00CC1FCD">
        <w:rPr>
          <w:lang w:val="en-GB"/>
        </w:rPr>
        <w:t>S 10.02</w:t>
      </w:r>
      <w:r w:rsidRPr="00CC1FCD">
        <w:rPr>
          <w:lang w:val="en-GB"/>
        </w:rPr>
        <w:t xml:space="preserve"> include</w:t>
      </w:r>
      <w:r w:rsidR="00D9319D" w:rsidRPr="00CC1FCD">
        <w:rPr>
          <w:lang w:val="en-GB"/>
        </w:rPr>
        <w:t>s</w:t>
      </w:r>
      <w:r w:rsidRPr="00CC1FCD">
        <w:rPr>
          <w:lang w:val="en-GB"/>
        </w:rPr>
        <w:t xml:space="preserve"> additional necessary information for the significance assessment following Article 43 of Regulation (EU) 2023/1114 and </w:t>
      </w:r>
      <w:r w:rsidR="002252E0" w:rsidRPr="00CC1FCD">
        <w:rPr>
          <w:lang w:val="en-GB"/>
        </w:rPr>
        <w:t xml:space="preserve">Commission Delegated Regulation (EU) </w:t>
      </w:r>
      <w:r w:rsidR="001D22FE" w:rsidRPr="00CC1FCD">
        <w:rPr>
          <w:lang w:val="en-GB"/>
        </w:rPr>
        <w:t>2024/1506</w:t>
      </w:r>
      <w:r w:rsidRPr="00CC1FCD">
        <w:rPr>
          <w:lang w:val="en-GB"/>
        </w:rPr>
        <w:t xml:space="preserve"> that </w:t>
      </w:r>
      <w:r w:rsidR="00E95CC9">
        <w:rPr>
          <w:lang w:val="en-GB"/>
        </w:rPr>
        <w:t>is</w:t>
      </w:r>
      <w:r w:rsidRPr="00CC1FCD">
        <w:rPr>
          <w:lang w:val="en-GB"/>
        </w:rPr>
        <w:t xml:space="preserve"> not covered by any other templates under Commission </w:t>
      </w:r>
      <w:r w:rsidR="00624A63" w:rsidRPr="00CC1FCD">
        <w:rPr>
          <w:lang w:val="en-GB"/>
        </w:rPr>
        <w:t xml:space="preserve">Implementing </w:t>
      </w:r>
      <w:r w:rsidRPr="00CC1FCD">
        <w:rPr>
          <w:lang w:val="en-GB"/>
        </w:rPr>
        <w:t>Regulation (EU) 202</w:t>
      </w:r>
      <w:r w:rsidR="003943A4" w:rsidRPr="00CC1FCD">
        <w:rPr>
          <w:lang w:val="en-GB"/>
        </w:rPr>
        <w:t>4</w:t>
      </w:r>
      <w:r w:rsidRPr="00CC1FCD">
        <w:rPr>
          <w:lang w:val="en-GB"/>
        </w:rPr>
        <w:t>/</w:t>
      </w:r>
      <w:r w:rsidR="00624A63" w:rsidRPr="00CC1FCD">
        <w:rPr>
          <w:lang w:val="en-GB"/>
        </w:rPr>
        <w:t>2902</w:t>
      </w:r>
      <w:r w:rsidRPr="00CC1FCD">
        <w:rPr>
          <w:lang w:val="en-GB"/>
        </w:rPr>
        <w:t xml:space="preserve"> or by any other </w:t>
      </w:r>
      <w:r w:rsidR="00E95CC9">
        <w:rPr>
          <w:lang w:val="en-GB"/>
        </w:rPr>
        <w:t>p</w:t>
      </w:r>
      <w:r w:rsidRPr="00CC1FCD">
        <w:rPr>
          <w:lang w:val="en-GB"/>
        </w:rPr>
        <w:t xml:space="preserve">arts </w:t>
      </w:r>
      <w:r w:rsidR="00E95CC9">
        <w:rPr>
          <w:lang w:val="en-GB"/>
        </w:rPr>
        <w:t>of</w:t>
      </w:r>
      <w:r w:rsidRPr="00CC1FCD">
        <w:rPr>
          <w:lang w:val="en-GB"/>
        </w:rPr>
        <w:t xml:space="preserve"> this Annex </w:t>
      </w:r>
      <w:r w:rsidR="00E95CC9">
        <w:rPr>
          <w:lang w:val="en-GB"/>
        </w:rPr>
        <w:t>to</w:t>
      </w:r>
      <w:r w:rsidRPr="00CC1FCD">
        <w:rPr>
          <w:lang w:val="en-GB"/>
        </w:rPr>
        <w:t xml:space="preserve"> these </w:t>
      </w:r>
      <w:r w:rsidR="00E95CC9">
        <w:rPr>
          <w:lang w:val="en-GB"/>
        </w:rPr>
        <w:t>G</w:t>
      </w:r>
      <w:r w:rsidRPr="00CC1FCD">
        <w:rPr>
          <w:lang w:val="en-GB"/>
        </w:rPr>
        <w:t>uidelines.</w:t>
      </w:r>
    </w:p>
    <w:p w14:paraId="579E92CB" w14:textId="77777777" w:rsidR="00163E6F" w:rsidRPr="00CC1FCD" w:rsidRDefault="00163E6F" w:rsidP="00C76F31">
      <w:pPr>
        <w:pStyle w:val="InstructionsText2"/>
        <w:rPr>
          <w:lang w:val="en-GB"/>
        </w:rPr>
      </w:pPr>
      <w:r w:rsidRPr="00CC1FCD">
        <w:rPr>
          <w:lang w:val="en-GB"/>
        </w:rPr>
        <w:t>The following specifications also to be considered for this template:</w:t>
      </w:r>
    </w:p>
    <w:p w14:paraId="79724744" w14:textId="7F2686D6" w:rsidR="00163E6F" w:rsidRPr="00CC1FCD" w:rsidRDefault="00163E6F" w:rsidP="00C76F31">
      <w:pPr>
        <w:pStyle w:val="InstructionsText2"/>
        <w:numPr>
          <w:ilvl w:val="1"/>
          <w:numId w:val="15"/>
        </w:numPr>
        <w:rPr>
          <w:lang w:val="en-GB"/>
        </w:rPr>
      </w:pPr>
      <w:r w:rsidRPr="00CC1FCD">
        <w:rPr>
          <w:lang w:val="en-GB"/>
        </w:rPr>
        <w:t xml:space="preserve">Under Article 3(1)(36) of </w:t>
      </w:r>
      <w:r w:rsidR="00AD5987" w:rsidRPr="00CC1FCD">
        <w:rPr>
          <w:lang w:val="en-GB"/>
        </w:rPr>
        <w:t>Regulation (EU) 2023/1114</w:t>
      </w:r>
      <w:r w:rsidRPr="00CC1FCD">
        <w:rPr>
          <w:lang w:val="en-GB"/>
        </w:rPr>
        <w:t>, ‘qualifying holding’ means any direct or indirect holding in an issuer of ARTs or in a crypto-asset service provider which represents at least 10% of the capital or of the voting rights, as set out in Articles 9 and 10 of Directive 2004/109/EC</w:t>
      </w:r>
      <w:r w:rsidR="00795B5C" w:rsidRPr="00CC1FCD">
        <w:rPr>
          <w:rStyle w:val="FootnoteReference"/>
          <w:lang w:val="en-GB"/>
        </w:rPr>
        <w:footnoteReference w:id="9"/>
      </w:r>
      <w:r w:rsidRPr="00CC1FCD">
        <w:rPr>
          <w:lang w:val="en-GB"/>
        </w:rPr>
        <w:t xml:space="preserve">, respectively, taking into account the conditions for the aggregation thereof laid down in Article 12(4) and (5) of that Directive, or which </w:t>
      </w:r>
      <w:r w:rsidRPr="00CC1FCD">
        <w:rPr>
          <w:lang w:val="en-GB"/>
        </w:rPr>
        <w:lastRenderedPageBreak/>
        <w:t xml:space="preserve">makes it possible to exercise a significant influence over the management of the issuer of ARTs or the management of the crypto-asset service provider in which that holding </w:t>
      </w:r>
      <w:r w:rsidR="00E95CC9">
        <w:rPr>
          <w:lang w:val="en-GB"/>
        </w:rPr>
        <w:t>ex</w:t>
      </w:r>
      <w:r w:rsidRPr="00CC1FCD">
        <w:rPr>
          <w:lang w:val="en-GB"/>
        </w:rPr>
        <w:t>ists.</w:t>
      </w:r>
    </w:p>
    <w:p w14:paraId="3024ED85" w14:textId="615141DB" w:rsidR="00163E6F" w:rsidRPr="00CC1FCD" w:rsidRDefault="00163E6F" w:rsidP="00C76F31">
      <w:pPr>
        <w:pStyle w:val="InstructionsText2"/>
        <w:numPr>
          <w:ilvl w:val="1"/>
          <w:numId w:val="15"/>
        </w:numPr>
        <w:rPr>
          <w:lang w:val="en-GB"/>
        </w:rPr>
      </w:pPr>
      <w:r w:rsidRPr="00CC1FCD">
        <w:rPr>
          <w:lang w:val="en-GB"/>
        </w:rPr>
        <w:t xml:space="preserve">Regarding ARTs issued by legal undertakings other than credit institutions, under Article 41 of </w:t>
      </w:r>
      <w:r w:rsidR="00AD5987" w:rsidRPr="00CC1FCD">
        <w:rPr>
          <w:lang w:val="en-GB"/>
        </w:rPr>
        <w:t>Regulation (EU) 2023/1114</w:t>
      </w:r>
      <w:r w:rsidRPr="00CC1FCD">
        <w:rPr>
          <w:lang w:val="en-GB"/>
        </w:rPr>
        <w:t xml:space="preserve"> any natural or legal persons or such persons acting in concert who intend to acquire, directly or indirectly (the ‘proposed acquirer’), a qualifying holding in an issuer of an </w:t>
      </w:r>
      <w:r w:rsidR="00BB7BEB" w:rsidRPr="00CC1FCD">
        <w:rPr>
          <w:lang w:val="en-GB"/>
        </w:rPr>
        <w:t>asset-referenced token</w:t>
      </w:r>
      <w:r w:rsidRPr="00CC1FCD">
        <w:rPr>
          <w:lang w:val="en-GB"/>
        </w:rPr>
        <w:t xml:space="preserve"> or to increase, directly or indirectly, such a qualifying holding so that the proportion of the voting rights or of the capital held would reach or exceed 20%, 30% or 50%, or so that the issuer of the </w:t>
      </w:r>
      <w:r w:rsidR="00BB7BEB" w:rsidRPr="00CC1FCD">
        <w:rPr>
          <w:lang w:val="en-GB"/>
        </w:rPr>
        <w:t>asset-referenced token</w:t>
      </w:r>
      <w:r w:rsidRPr="00CC1FCD">
        <w:rPr>
          <w:lang w:val="en-GB"/>
        </w:rPr>
        <w:t xml:space="preserve"> would become its subsidiary, </w:t>
      </w:r>
      <w:r w:rsidR="004E670D" w:rsidRPr="00CC1FCD">
        <w:rPr>
          <w:lang w:val="en-GB"/>
        </w:rPr>
        <w:t>should</w:t>
      </w:r>
      <w:r w:rsidRPr="00CC1FCD">
        <w:rPr>
          <w:lang w:val="en-GB"/>
        </w:rPr>
        <w:t xml:space="preserve"> notify the competent authority of that issuer thereof in writing, indicating the size of the intended holding and the information required by the RTS adopted by the Commission in accordance with Article 42(4) of </w:t>
      </w:r>
      <w:r w:rsidR="009E6486" w:rsidRPr="00CC1FCD">
        <w:rPr>
          <w:lang w:val="en-GB"/>
        </w:rPr>
        <w:t>Regulation (EU) 2023/1114</w:t>
      </w:r>
      <w:r w:rsidRPr="00CC1FCD">
        <w:rPr>
          <w:lang w:val="en-GB"/>
        </w:rPr>
        <w:t xml:space="preserve">. In equivalent manner, under the same provision, any natural or legal person who has taken a decision to dispose, directly or indirectly, of a qualifying holding in an issuer of an </w:t>
      </w:r>
      <w:r w:rsidR="00BB7BEB" w:rsidRPr="00CC1FCD">
        <w:rPr>
          <w:lang w:val="en-GB"/>
        </w:rPr>
        <w:t xml:space="preserve">asset-referenced token </w:t>
      </w:r>
      <w:r w:rsidR="004E670D" w:rsidRPr="00CC1FCD">
        <w:rPr>
          <w:lang w:val="en-GB"/>
        </w:rPr>
        <w:t>should</w:t>
      </w:r>
      <w:r w:rsidRPr="00CC1FCD">
        <w:rPr>
          <w:lang w:val="en-GB"/>
        </w:rPr>
        <w:t xml:space="preserve">, prior to disposing of that holding, notify in writing the competent authority of its decision and indicate the size of </w:t>
      </w:r>
      <w:r w:rsidR="00E95CC9">
        <w:rPr>
          <w:lang w:val="en-GB"/>
        </w:rPr>
        <w:t>the</w:t>
      </w:r>
      <w:r w:rsidRPr="00CC1FCD">
        <w:rPr>
          <w:lang w:val="en-GB"/>
        </w:rPr>
        <w:t xml:space="preserve"> holding. That person </w:t>
      </w:r>
      <w:r w:rsidR="004E670D" w:rsidRPr="00CC1FCD">
        <w:rPr>
          <w:lang w:val="en-GB"/>
        </w:rPr>
        <w:t>should</w:t>
      </w:r>
      <w:r w:rsidRPr="00CC1FCD">
        <w:rPr>
          <w:lang w:val="en-GB"/>
        </w:rPr>
        <w:t xml:space="preserve"> also notify the competent authority where it has taken a decision to reduce a qualifying holding so that the proportion of the voting rights or of the capital held would fall below 10%, 20%, 30% or 50%, or so that the issuer of the </w:t>
      </w:r>
      <w:r w:rsidR="00BB7BEB" w:rsidRPr="00CC1FCD">
        <w:rPr>
          <w:lang w:val="en-GB"/>
        </w:rPr>
        <w:t xml:space="preserve">asset-referenced token </w:t>
      </w:r>
      <w:r w:rsidRPr="00CC1FCD">
        <w:rPr>
          <w:lang w:val="en-GB"/>
        </w:rPr>
        <w:t>would cease to be that person’s subsidiary.</w:t>
      </w:r>
    </w:p>
    <w:p w14:paraId="13B8DDDD" w14:textId="1A080998" w:rsidR="00163E6F" w:rsidRPr="00CC1FCD" w:rsidRDefault="00163E6F" w:rsidP="00C76F31">
      <w:pPr>
        <w:pStyle w:val="InstructionsText2"/>
        <w:numPr>
          <w:ilvl w:val="1"/>
          <w:numId w:val="15"/>
        </w:numPr>
        <w:rPr>
          <w:lang w:val="en-GB"/>
        </w:rPr>
      </w:pPr>
      <w:r w:rsidRPr="00CC1FCD">
        <w:rPr>
          <w:lang w:val="en-GB"/>
        </w:rPr>
        <w:t xml:space="preserve">Regarding </w:t>
      </w:r>
      <w:r w:rsidR="007047B4" w:rsidRPr="00CC1FCD">
        <w:rPr>
          <w:lang w:val="en-GB"/>
        </w:rPr>
        <w:t>asset-referenced token</w:t>
      </w:r>
      <w:r w:rsidRPr="00CC1FCD">
        <w:rPr>
          <w:lang w:val="en-GB"/>
        </w:rPr>
        <w:t>s issued by credit institutions, notifications of acquisitions or disposals of qualifying holdings to the competent authorities are regulated under the CRR/CRD</w:t>
      </w:r>
      <w:r w:rsidR="00FF3D57" w:rsidRPr="00CC1FCD">
        <w:rPr>
          <w:rStyle w:val="FootnoteReference"/>
          <w:lang w:val="en-GB"/>
        </w:rPr>
        <w:footnoteReference w:id="10"/>
      </w:r>
      <w:r w:rsidRPr="00CC1FCD">
        <w:rPr>
          <w:lang w:val="en-GB"/>
        </w:rPr>
        <w:t xml:space="preserve"> framework. </w:t>
      </w:r>
    </w:p>
    <w:p w14:paraId="362412E5" w14:textId="05585A16" w:rsidR="00163E6F" w:rsidRPr="00CC1FCD" w:rsidRDefault="00163E6F" w:rsidP="00C76F31">
      <w:pPr>
        <w:pStyle w:val="InstructionsText2"/>
        <w:numPr>
          <w:ilvl w:val="1"/>
          <w:numId w:val="15"/>
        </w:numPr>
        <w:rPr>
          <w:lang w:val="en-GB"/>
        </w:rPr>
      </w:pPr>
      <w:r w:rsidRPr="00CC1FCD">
        <w:rPr>
          <w:lang w:val="en-GB"/>
        </w:rPr>
        <w:t xml:space="preserve">Regarding </w:t>
      </w:r>
      <w:r w:rsidR="00125C02" w:rsidRPr="00CC1FCD">
        <w:rPr>
          <w:lang w:val="en-GB"/>
        </w:rPr>
        <w:t>e-money tokens</w:t>
      </w:r>
      <w:r w:rsidRPr="00CC1FCD">
        <w:rPr>
          <w:lang w:val="en-GB"/>
        </w:rPr>
        <w:t xml:space="preserve"> issued by e-money institutions, Article 3 of </w:t>
      </w:r>
      <w:r w:rsidR="0033119B" w:rsidRPr="00CC1FCD">
        <w:rPr>
          <w:lang w:val="en-GB"/>
        </w:rPr>
        <w:t>Directive 2009/110/EC</w:t>
      </w:r>
      <w:r w:rsidR="0033119B" w:rsidRPr="00CC1FCD">
        <w:rPr>
          <w:rStyle w:val="FootnoteReference"/>
          <w:lang w:val="en-GB"/>
        </w:rPr>
        <w:footnoteReference w:id="11"/>
      </w:r>
      <w:r w:rsidR="003943A4" w:rsidRPr="00CC1FCD">
        <w:rPr>
          <w:lang w:val="en-GB"/>
        </w:rPr>
        <w:t xml:space="preserve"> </w:t>
      </w:r>
      <w:r w:rsidRPr="00CC1FCD">
        <w:rPr>
          <w:lang w:val="en-GB"/>
        </w:rPr>
        <w:t>establishes equivalent rules for the notification of acquisition</w:t>
      </w:r>
      <w:r w:rsidR="00E95CC9">
        <w:rPr>
          <w:lang w:val="en-GB"/>
        </w:rPr>
        <w:t>s</w:t>
      </w:r>
      <w:r w:rsidRPr="00CC1FCD">
        <w:rPr>
          <w:lang w:val="en-GB"/>
        </w:rPr>
        <w:t xml:space="preserve"> and disposals of qualifying holdings to the competent authorities.</w:t>
      </w:r>
    </w:p>
    <w:p w14:paraId="20F5AA18" w14:textId="2984A435" w:rsidR="00163E6F" w:rsidRPr="00CC1FCD" w:rsidRDefault="00163E6F" w:rsidP="00C76F31">
      <w:pPr>
        <w:pStyle w:val="InstructionsText2"/>
        <w:rPr>
          <w:lang w:val="en-GB"/>
        </w:rPr>
      </w:pPr>
      <w:r w:rsidRPr="00CC1FCD">
        <w:rPr>
          <w:lang w:val="en-GB"/>
        </w:rPr>
        <w:t>The number of the rows to be reported for these templates is depend</w:t>
      </w:r>
      <w:r w:rsidR="00E95CC9">
        <w:rPr>
          <w:lang w:val="en-GB"/>
        </w:rPr>
        <w:t>ent</w:t>
      </w:r>
      <w:r w:rsidRPr="00CC1FCD">
        <w:rPr>
          <w:lang w:val="en-GB"/>
        </w:rPr>
        <w:t xml:space="preserve"> on the above instructions and further specifications, as needed.</w:t>
      </w:r>
    </w:p>
    <w:p w14:paraId="0B8B1877" w14:textId="609C5128" w:rsidR="00163E6F" w:rsidRPr="00CC1FCD" w:rsidRDefault="00163E6F" w:rsidP="00E91F4B">
      <w:pPr>
        <w:pStyle w:val="Instructionsberschrift2"/>
        <w:numPr>
          <w:ilvl w:val="0"/>
          <w:numId w:val="13"/>
        </w:numPr>
        <w:rPr>
          <w:sz w:val="22"/>
          <w:szCs w:val="22"/>
        </w:rPr>
      </w:pPr>
      <w:bookmarkStart w:id="61" w:name="_Toc181699811"/>
      <w:bookmarkStart w:id="62" w:name="_Toc184211454"/>
      <w:r w:rsidRPr="00CC1FCD">
        <w:rPr>
          <w:sz w:val="22"/>
          <w:szCs w:val="22"/>
        </w:rPr>
        <w:t xml:space="preserve">Instructions concerning specific positions of </w:t>
      </w:r>
      <w:r w:rsidR="00E95CC9">
        <w:rPr>
          <w:sz w:val="22"/>
          <w:szCs w:val="22"/>
        </w:rPr>
        <w:t>t</w:t>
      </w:r>
      <w:r w:rsidRPr="00CC1FCD">
        <w:rPr>
          <w:sz w:val="22"/>
          <w:szCs w:val="22"/>
        </w:rPr>
        <w:t xml:space="preserve">emplate </w:t>
      </w:r>
      <w:r w:rsidR="006E23CE" w:rsidRPr="00CC1FCD">
        <w:rPr>
          <w:sz w:val="22"/>
          <w:szCs w:val="22"/>
        </w:rPr>
        <w:t>S 10.02</w:t>
      </w:r>
      <w:bookmarkEnd w:id="61"/>
      <w:bookmarkEnd w:id="62"/>
    </w:p>
    <w:tbl>
      <w:tblPr>
        <w:tblStyle w:val="TableGrid"/>
        <w:tblW w:w="8687" w:type="dxa"/>
        <w:tblInd w:w="539" w:type="dxa"/>
        <w:tblLook w:val="04A0" w:firstRow="1" w:lastRow="0" w:firstColumn="1" w:lastColumn="0" w:noHBand="0" w:noVBand="1"/>
      </w:tblPr>
      <w:tblGrid>
        <w:gridCol w:w="1132"/>
        <w:gridCol w:w="7555"/>
      </w:tblGrid>
      <w:tr w:rsidR="00163E6F" w:rsidRPr="00CC1FCD" w14:paraId="02087E82" w14:textId="77777777" w:rsidTr="00BF05E0">
        <w:tc>
          <w:tcPr>
            <w:tcW w:w="1132" w:type="dxa"/>
            <w:shd w:val="clear" w:color="auto" w:fill="D9D9D9" w:themeFill="background1" w:themeFillShade="D9"/>
            <w:vAlign w:val="center"/>
          </w:tcPr>
          <w:p w14:paraId="7236341E" w14:textId="77777777" w:rsidR="00163E6F" w:rsidRPr="00CC1FCD" w:rsidRDefault="00163E6F" w:rsidP="00BF05E0">
            <w:pPr>
              <w:rPr>
                <w:rFonts w:ascii="Times New Roman" w:hAnsi="Times New Roman"/>
                <w:sz w:val="24"/>
                <w:lang w:val="en-GB"/>
              </w:rPr>
            </w:pPr>
            <w:r w:rsidRPr="00CC1FCD">
              <w:rPr>
                <w:rFonts w:ascii="Times New Roman" w:hAnsi="Times New Roman"/>
                <w:sz w:val="24"/>
                <w:lang w:val="en-GB"/>
              </w:rPr>
              <w:t>Columns</w:t>
            </w:r>
          </w:p>
        </w:tc>
        <w:tc>
          <w:tcPr>
            <w:tcW w:w="7555" w:type="dxa"/>
            <w:shd w:val="clear" w:color="auto" w:fill="D9D9D9" w:themeFill="background1" w:themeFillShade="D9"/>
            <w:vAlign w:val="center"/>
          </w:tcPr>
          <w:p w14:paraId="247A4728" w14:textId="77777777" w:rsidR="00163E6F" w:rsidRPr="00CC1FCD" w:rsidRDefault="00163E6F" w:rsidP="00BF05E0">
            <w:pPr>
              <w:rPr>
                <w:rFonts w:ascii="Times New Roman" w:hAnsi="Times New Roman"/>
                <w:sz w:val="24"/>
                <w:lang w:val="en-GB"/>
              </w:rPr>
            </w:pPr>
            <w:r w:rsidRPr="00CC1FCD">
              <w:rPr>
                <w:rFonts w:ascii="Times New Roman" w:hAnsi="Times New Roman"/>
                <w:sz w:val="24"/>
                <w:lang w:val="en-GB"/>
              </w:rPr>
              <w:t>Legal references and instructions</w:t>
            </w:r>
          </w:p>
        </w:tc>
      </w:tr>
      <w:tr w:rsidR="00163E6F" w:rsidRPr="00CC1FCD" w14:paraId="0CD17703" w14:textId="77777777" w:rsidTr="00BF05E0">
        <w:tc>
          <w:tcPr>
            <w:tcW w:w="1132" w:type="dxa"/>
            <w:vAlign w:val="center"/>
          </w:tcPr>
          <w:p w14:paraId="1AEA04D1" w14:textId="77777777" w:rsidR="00163E6F" w:rsidRPr="00CC1FCD" w:rsidRDefault="00163E6F" w:rsidP="00BF05E0">
            <w:pPr>
              <w:rPr>
                <w:rFonts w:ascii="Times New Roman" w:hAnsi="Times New Roman"/>
                <w:sz w:val="24"/>
                <w:lang w:val="en-GB"/>
              </w:rPr>
            </w:pPr>
            <w:r w:rsidRPr="00CC1FCD">
              <w:rPr>
                <w:rFonts w:ascii="Times New Roman" w:hAnsi="Times New Roman"/>
                <w:sz w:val="24"/>
                <w:lang w:val="en-GB"/>
              </w:rPr>
              <w:t>0010</w:t>
            </w:r>
          </w:p>
        </w:tc>
        <w:tc>
          <w:tcPr>
            <w:tcW w:w="7555" w:type="dxa"/>
            <w:vAlign w:val="center"/>
          </w:tcPr>
          <w:p w14:paraId="1EC77343" w14:textId="77777777" w:rsidR="00163E6F" w:rsidRPr="00CC1FCD" w:rsidRDefault="00163E6F" w:rsidP="00BF05E0">
            <w:pPr>
              <w:rPr>
                <w:rFonts w:ascii="Times New Roman" w:hAnsi="Times New Roman"/>
                <w:b/>
                <w:bCs/>
                <w:sz w:val="24"/>
                <w:u w:val="single"/>
                <w:lang w:val="en-GB"/>
              </w:rPr>
            </w:pPr>
            <w:r w:rsidRPr="00CC1FCD">
              <w:rPr>
                <w:rFonts w:ascii="Times New Roman" w:hAnsi="Times New Roman"/>
                <w:b/>
                <w:bCs/>
                <w:sz w:val="24"/>
                <w:u w:val="single"/>
                <w:lang w:val="en-GB"/>
              </w:rPr>
              <w:t>Natural/Legal Person Name</w:t>
            </w:r>
          </w:p>
          <w:p w14:paraId="649D97B2" w14:textId="77777777" w:rsidR="00163E6F" w:rsidRPr="00CC1FCD" w:rsidRDefault="00163E6F" w:rsidP="00BF05E0">
            <w:pPr>
              <w:rPr>
                <w:rFonts w:ascii="Times New Roman" w:hAnsi="Times New Roman"/>
                <w:sz w:val="24"/>
                <w:lang w:val="en-GB"/>
              </w:rPr>
            </w:pPr>
            <w:r w:rsidRPr="00CC1FCD">
              <w:rPr>
                <w:rFonts w:ascii="Times New Roman" w:hAnsi="Times New Roman"/>
                <w:sz w:val="24"/>
                <w:lang w:val="en-GB"/>
              </w:rPr>
              <w:t>The name of the natural or legal person in scope, depending on the z-axis value for the template.</w:t>
            </w:r>
          </w:p>
        </w:tc>
      </w:tr>
      <w:tr w:rsidR="00163E6F" w:rsidRPr="00CC1FCD" w14:paraId="4C7142EA" w14:textId="77777777" w:rsidTr="00BF05E0">
        <w:tc>
          <w:tcPr>
            <w:tcW w:w="1132" w:type="dxa"/>
            <w:vAlign w:val="center"/>
          </w:tcPr>
          <w:p w14:paraId="5ACF5E6B" w14:textId="77777777" w:rsidR="00163E6F" w:rsidRPr="00CC1FCD" w:rsidRDefault="00163E6F" w:rsidP="00BF05E0">
            <w:pPr>
              <w:rPr>
                <w:rFonts w:ascii="Times New Roman" w:hAnsi="Times New Roman"/>
                <w:sz w:val="24"/>
                <w:lang w:val="en-GB"/>
              </w:rPr>
            </w:pPr>
            <w:r w:rsidRPr="00CC1FCD">
              <w:rPr>
                <w:rFonts w:ascii="Times New Roman" w:hAnsi="Times New Roman"/>
                <w:sz w:val="24"/>
                <w:lang w:val="en-GB"/>
              </w:rPr>
              <w:lastRenderedPageBreak/>
              <w:t>0020</w:t>
            </w:r>
          </w:p>
        </w:tc>
        <w:tc>
          <w:tcPr>
            <w:tcW w:w="7555" w:type="dxa"/>
            <w:vAlign w:val="center"/>
          </w:tcPr>
          <w:p w14:paraId="60660EC7" w14:textId="0BEB3FCF" w:rsidR="00163E6F" w:rsidRPr="00CC1FCD" w:rsidRDefault="00163E6F" w:rsidP="00BF05E0">
            <w:pPr>
              <w:rPr>
                <w:rFonts w:ascii="Times New Roman" w:hAnsi="Times New Roman"/>
                <w:b/>
                <w:bCs/>
                <w:sz w:val="24"/>
                <w:u w:val="single"/>
                <w:lang w:val="en-GB"/>
              </w:rPr>
            </w:pPr>
            <w:r w:rsidRPr="00CC1FCD">
              <w:rPr>
                <w:rFonts w:ascii="Times New Roman" w:hAnsi="Times New Roman"/>
                <w:b/>
                <w:bCs/>
                <w:sz w:val="24"/>
                <w:u w:val="single"/>
                <w:lang w:val="en-GB"/>
              </w:rPr>
              <w:t>Code</w:t>
            </w:r>
          </w:p>
          <w:p w14:paraId="4651D550" w14:textId="5F297E9A" w:rsidR="00163E6F" w:rsidRPr="00CC1FCD" w:rsidRDefault="0022799D" w:rsidP="00C76F31">
            <w:pPr>
              <w:pStyle w:val="InstructionsText"/>
              <w:rPr>
                <w:sz w:val="24"/>
                <w:lang w:val="en-GB"/>
              </w:rPr>
            </w:pPr>
            <w:r w:rsidRPr="00CC1FCD">
              <w:rPr>
                <w:rStyle w:val="InstructionsTabelleberschrift"/>
                <w:rFonts w:ascii="Times New Roman" w:hAnsi="Times New Roman"/>
                <w:b w:val="0"/>
                <w:bCs/>
                <w:sz w:val="24"/>
                <w:u w:val="none"/>
                <w:lang w:val="en-GB"/>
              </w:rPr>
              <w:t>The code of the entity in scope, such as national identification number for natural persons or legal entity identifier (LEI) code for legal persons, or any other available applicable official identifier</w:t>
            </w:r>
            <w:r w:rsidRPr="00CC1FCD">
              <w:rPr>
                <w:lang w:val="en-GB"/>
              </w:rPr>
              <w:t xml:space="preserve">, </w:t>
            </w:r>
            <w:r w:rsidRPr="002C29A7">
              <w:rPr>
                <w:sz w:val="24"/>
                <w:szCs w:val="24"/>
                <w:lang w:val="en-GB"/>
              </w:rPr>
              <w:t>depending on the z-axis value for the template</w:t>
            </w:r>
            <w:r w:rsidRPr="00CC1FCD">
              <w:rPr>
                <w:rStyle w:val="InstructionsTabelleberschrift"/>
                <w:rFonts w:ascii="Times New Roman" w:hAnsi="Times New Roman"/>
                <w:b w:val="0"/>
                <w:bCs/>
                <w:sz w:val="24"/>
                <w:u w:val="none"/>
                <w:lang w:val="en-GB"/>
              </w:rPr>
              <w:t>. If a</w:t>
            </w:r>
            <w:r w:rsidR="008B1C28">
              <w:rPr>
                <w:rStyle w:val="InstructionsTabelleberschrift"/>
                <w:rFonts w:ascii="Times New Roman" w:hAnsi="Times New Roman"/>
                <w:b w:val="0"/>
                <w:bCs/>
                <w:sz w:val="24"/>
                <w:u w:val="none"/>
                <w:lang w:val="en-GB"/>
              </w:rPr>
              <w:t>n</w:t>
            </w:r>
            <w:r w:rsidRPr="00CC1FCD">
              <w:rPr>
                <w:rStyle w:val="InstructionsTabelleberschrift"/>
                <w:rFonts w:ascii="Times New Roman" w:hAnsi="Times New Roman"/>
                <w:b w:val="0"/>
                <w:bCs/>
                <w:sz w:val="24"/>
                <w:u w:val="none"/>
                <w:lang w:val="en-GB"/>
              </w:rPr>
              <w:t xml:space="preserve"> LEI is available, this LEI s</w:t>
            </w:r>
            <w:r w:rsidRPr="00CC1FCD">
              <w:rPr>
                <w:rStyle w:val="InstructionsTabelleberschrift"/>
                <w:rFonts w:ascii="Times New Roman" w:hAnsi="Times New Roman"/>
                <w:b w:val="0"/>
                <w:bCs/>
                <w:sz w:val="24"/>
                <w:lang w:val="en-GB"/>
              </w:rPr>
              <w:t>hould</w:t>
            </w:r>
            <w:r w:rsidRPr="00CC1FCD">
              <w:rPr>
                <w:rStyle w:val="InstructionsTabelleberschrift"/>
                <w:rFonts w:ascii="Times New Roman" w:hAnsi="Times New Roman"/>
                <w:b w:val="0"/>
                <w:bCs/>
                <w:sz w:val="24"/>
                <w:u w:val="none"/>
                <w:lang w:val="en-GB"/>
              </w:rPr>
              <w:t xml:space="preserve"> be reported.</w:t>
            </w:r>
          </w:p>
        </w:tc>
      </w:tr>
      <w:tr w:rsidR="0022799D" w:rsidRPr="00CC1FCD" w14:paraId="245ACECF" w14:textId="77777777" w:rsidTr="004C5A35">
        <w:tc>
          <w:tcPr>
            <w:tcW w:w="1132" w:type="dxa"/>
            <w:vAlign w:val="center"/>
          </w:tcPr>
          <w:p w14:paraId="083C5C33" w14:textId="2C61F952" w:rsidR="0022799D" w:rsidRPr="00CC1FCD" w:rsidRDefault="0022799D" w:rsidP="0022799D">
            <w:pPr>
              <w:rPr>
                <w:rFonts w:ascii="Times New Roman" w:hAnsi="Times New Roman"/>
                <w:sz w:val="24"/>
                <w:lang w:val="en-GB"/>
              </w:rPr>
            </w:pPr>
            <w:r w:rsidRPr="00CC1FCD">
              <w:rPr>
                <w:rFonts w:ascii="Times New Roman" w:hAnsi="Times New Roman"/>
                <w:sz w:val="24"/>
                <w:lang w:val="en-GB"/>
              </w:rPr>
              <w:t>0030</w:t>
            </w:r>
          </w:p>
        </w:tc>
        <w:tc>
          <w:tcPr>
            <w:tcW w:w="7555" w:type="dxa"/>
          </w:tcPr>
          <w:p w14:paraId="715ED900" w14:textId="77777777" w:rsidR="0022799D" w:rsidRPr="00CC1FCD" w:rsidRDefault="0022799D" w:rsidP="00C76F31">
            <w:pPr>
              <w:pStyle w:val="InstructionsText"/>
              <w:rPr>
                <w:rStyle w:val="InstructionsTabelleberschrift"/>
                <w:rFonts w:ascii="Times New Roman" w:hAnsi="Times New Roman"/>
                <w:sz w:val="24"/>
                <w:lang w:val="en-GB"/>
              </w:rPr>
            </w:pPr>
            <w:r w:rsidRPr="00CC1FCD">
              <w:rPr>
                <w:rStyle w:val="InstructionsTabelleberschrift"/>
                <w:rFonts w:ascii="Times New Roman" w:hAnsi="Times New Roman"/>
                <w:sz w:val="24"/>
                <w:lang w:val="en-GB"/>
              </w:rPr>
              <w:t>Type of code</w:t>
            </w:r>
          </w:p>
          <w:p w14:paraId="007DB5F4" w14:textId="601B6155" w:rsidR="0022799D" w:rsidRPr="00CC1FCD" w:rsidRDefault="0022799D" w:rsidP="0022799D">
            <w:pPr>
              <w:rPr>
                <w:rFonts w:ascii="Times New Roman" w:hAnsi="Times New Roman"/>
                <w:sz w:val="24"/>
                <w:lang w:val="en-GB"/>
              </w:rPr>
            </w:pPr>
            <w:r w:rsidRPr="00CC1FCD">
              <w:rPr>
                <w:rFonts w:ascii="Times New Roman" w:hAnsi="Times New Roman"/>
                <w:sz w:val="24"/>
                <w:lang w:val="en-GB"/>
              </w:rPr>
              <w:t>The type of the code reported in column 0020 for the entity in scope.</w:t>
            </w:r>
          </w:p>
          <w:p w14:paraId="5EB7B6DB" w14:textId="5C933716" w:rsidR="0022799D" w:rsidRPr="00CC1FCD" w:rsidRDefault="0022799D" w:rsidP="0022799D">
            <w:pPr>
              <w:rPr>
                <w:rFonts w:ascii="Times New Roman" w:hAnsi="Times New Roman"/>
                <w:sz w:val="24"/>
                <w:lang w:val="en-GB"/>
              </w:rPr>
            </w:pPr>
            <w:r w:rsidRPr="00CC1FCD">
              <w:rPr>
                <w:rFonts w:ascii="Times New Roman" w:hAnsi="Times New Roman"/>
                <w:sz w:val="24"/>
                <w:lang w:val="en-GB"/>
              </w:rPr>
              <w:t>Types of codes for legal persons and for natural persons:</w:t>
            </w:r>
          </w:p>
          <w:p w14:paraId="5509ECFC" w14:textId="4FA4420A" w:rsidR="008D37E9"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l</w:t>
            </w:r>
            <w:r w:rsidR="008D37E9" w:rsidRPr="00CC1FCD">
              <w:rPr>
                <w:rFonts w:ascii="Times New Roman" w:hAnsi="Times New Roman"/>
                <w:sz w:val="24"/>
                <w:lang w:val="en-GB"/>
              </w:rPr>
              <w:t>egal entity identifier (LEI) code</w:t>
            </w:r>
          </w:p>
          <w:p w14:paraId="78D55DCE" w14:textId="6B865079" w:rsidR="008D37E9" w:rsidRPr="00CC1FCD" w:rsidRDefault="008B1C28" w:rsidP="004C5A35">
            <w:pPr>
              <w:pStyle w:val="ListParagraph"/>
              <w:numPr>
                <w:ilvl w:val="0"/>
                <w:numId w:val="44"/>
              </w:numPr>
              <w:contextualSpacing/>
              <w:rPr>
                <w:rFonts w:ascii="Times New Roman" w:hAnsi="Times New Roman"/>
                <w:sz w:val="24"/>
                <w:lang w:val="en-GB"/>
              </w:rPr>
            </w:pPr>
            <w:r>
              <w:rPr>
                <w:rFonts w:ascii="Times New Roman" w:hAnsi="Times New Roman"/>
                <w:sz w:val="24"/>
                <w:lang w:val="en-GB"/>
              </w:rPr>
              <w:t>o</w:t>
            </w:r>
            <w:r w:rsidR="008D37E9" w:rsidRPr="00CC1FCD">
              <w:rPr>
                <w:rFonts w:ascii="Times New Roman" w:hAnsi="Times New Roman"/>
                <w:sz w:val="24"/>
                <w:lang w:val="en-GB"/>
              </w:rPr>
              <w:t>fficial national registration number</w:t>
            </w:r>
            <w:r w:rsidR="00505FC8" w:rsidRPr="00CC1FCD">
              <w:rPr>
                <w:rFonts w:ascii="Times New Roman" w:hAnsi="Times New Roman"/>
                <w:sz w:val="24"/>
                <w:lang w:val="en-GB"/>
              </w:rPr>
              <w:t xml:space="preserve"> or European Unique Identifier (EUID) made available under Directive (EU) 2017/1132</w:t>
            </w:r>
            <w:r w:rsidR="00505FC8" w:rsidRPr="00CC1FCD">
              <w:rPr>
                <w:rFonts w:ascii="Times New Roman" w:hAnsi="Times New Roman"/>
                <w:sz w:val="24"/>
                <w:vertAlign w:val="superscript"/>
                <w:lang w:val="en-GB"/>
              </w:rPr>
              <w:footnoteReference w:id="12"/>
            </w:r>
          </w:p>
          <w:p w14:paraId="5EC202E7" w14:textId="1ACA1FCE" w:rsidR="008D37E9"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o</w:t>
            </w:r>
            <w:r w:rsidR="008D37E9" w:rsidRPr="00CC1FCD">
              <w:rPr>
                <w:rFonts w:ascii="Times New Roman" w:hAnsi="Times New Roman"/>
                <w:sz w:val="24"/>
                <w:lang w:val="en-GB"/>
              </w:rPr>
              <w:t>fficial registered tax number</w:t>
            </w:r>
          </w:p>
          <w:p w14:paraId="48EED217" w14:textId="5732E066" w:rsidR="0022799D"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n</w:t>
            </w:r>
            <w:r w:rsidR="0022799D" w:rsidRPr="00CC1FCD">
              <w:rPr>
                <w:rFonts w:ascii="Times New Roman" w:hAnsi="Times New Roman"/>
                <w:sz w:val="24"/>
                <w:lang w:val="en-GB"/>
              </w:rPr>
              <w:t>ational identification number</w:t>
            </w:r>
          </w:p>
          <w:p w14:paraId="0CFE90BA" w14:textId="55D79C98" w:rsidR="0022799D"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n</w:t>
            </w:r>
            <w:r w:rsidR="0022799D" w:rsidRPr="00CC1FCD">
              <w:rPr>
                <w:rFonts w:ascii="Times New Roman" w:hAnsi="Times New Roman"/>
                <w:sz w:val="24"/>
                <w:lang w:val="en-GB"/>
              </w:rPr>
              <w:t>ational tax number</w:t>
            </w:r>
          </w:p>
          <w:p w14:paraId="472C8581" w14:textId="4B9F5081" w:rsidR="0022799D"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p</w:t>
            </w:r>
            <w:r w:rsidR="0022799D" w:rsidRPr="00CC1FCD">
              <w:rPr>
                <w:rFonts w:ascii="Times New Roman" w:hAnsi="Times New Roman"/>
                <w:sz w:val="24"/>
                <w:lang w:val="en-GB"/>
              </w:rPr>
              <w:t>assport number</w:t>
            </w:r>
          </w:p>
          <w:p w14:paraId="15D5321E" w14:textId="39E0442C" w:rsidR="0022799D" w:rsidRPr="00CC1FCD" w:rsidRDefault="008B1C28" w:rsidP="008D37E9">
            <w:pPr>
              <w:pStyle w:val="ListParagraph"/>
              <w:numPr>
                <w:ilvl w:val="0"/>
                <w:numId w:val="44"/>
              </w:numPr>
              <w:spacing w:before="0"/>
              <w:contextualSpacing/>
              <w:rPr>
                <w:rFonts w:ascii="Times New Roman" w:hAnsi="Times New Roman"/>
                <w:sz w:val="24"/>
                <w:lang w:val="en-GB"/>
              </w:rPr>
            </w:pPr>
            <w:r>
              <w:rPr>
                <w:rFonts w:ascii="Times New Roman" w:hAnsi="Times New Roman"/>
                <w:sz w:val="24"/>
                <w:lang w:val="en-GB"/>
              </w:rPr>
              <w:t>o</w:t>
            </w:r>
            <w:r w:rsidR="0022799D" w:rsidRPr="00CC1FCD">
              <w:rPr>
                <w:rFonts w:ascii="Times New Roman" w:hAnsi="Times New Roman"/>
                <w:sz w:val="24"/>
                <w:lang w:val="en-GB"/>
              </w:rPr>
              <w:t xml:space="preserve">ther type of identification number </w:t>
            </w:r>
          </w:p>
          <w:p w14:paraId="0EA9D4F1" w14:textId="6BA4279F" w:rsidR="0022799D" w:rsidRPr="00CC1FCD" w:rsidDel="0022799D" w:rsidRDefault="0022799D" w:rsidP="0022799D">
            <w:pPr>
              <w:rPr>
                <w:rFonts w:ascii="Times New Roman" w:hAnsi="Times New Roman"/>
                <w:b/>
                <w:bCs/>
                <w:sz w:val="24"/>
                <w:u w:val="single"/>
                <w:lang w:val="en-GB"/>
              </w:rPr>
            </w:pPr>
            <w:r w:rsidRPr="00CC1FCD">
              <w:rPr>
                <w:rStyle w:val="InstructionsTabelleberschrift"/>
                <w:rFonts w:ascii="Times New Roman" w:hAnsi="Times New Roman"/>
                <w:b w:val="0"/>
                <w:bCs w:val="0"/>
                <w:sz w:val="24"/>
                <w:u w:val="none"/>
                <w:lang w:val="en-GB"/>
              </w:rPr>
              <w:t xml:space="preserve">The type of code </w:t>
            </w:r>
            <w:r w:rsidR="008D37E9" w:rsidRPr="00CC1FCD">
              <w:rPr>
                <w:rStyle w:val="InstructionsTabelleberschrift"/>
                <w:rFonts w:ascii="Times New Roman" w:hAnsi="Times New Roman"/>
                <w:b w:val="0"/>
                <w:bCs w:val="0"/>
                <w:sz w:val="24"/>
                <w:u w:val="none"/>
                <w:lang w:val="en-GB"/>
              </w:rPr>
              <w:t>sh</w:t>
            </w:r>
            <w:r w:rsidR="008B1C28">
              <w:rPr>
                <w:rStyle w:val="InstructionsTabelleberschrift"/>
                <w:rFonts w:ascii="Times New Roman" w:hAnsi="Times New Roman"/>
                <w:b w:val="0"/>
                <w:bCs w:val="0"/>
                <w:sz w:val="24"/>
                <w:u w:val="none"/>
                <w:lang w:val="en-GB"/>
              </w:rPr>
              <w:t>ould</w:t>
            </w:r>
            <w:r w:rsidRPr="00CC1FCD">
              <w:rPr>
                <w:rStyle w:val="InstructionsTabelleberschrift"/>
                <w:rFonts w:ascii="Times New Roman" w:hAnsi="Times New Roman"/>
                <w:b w:val="0"/>
                <w:bCs w:val="0"/>
                <w:sz w:val="24"/>
                <w:u w:val="none"/>
                <w:lang w:val="en-GB"/>
              </w:rPr>
              <w:t xml:space="preserve"> always be reported.</w:t>
            </w:r>
          </w:p>
        </w:tc>
      </w:tr>
      <w:tr w:rsidR="0022799D" w:rsidRPr="00CC1FCD" w14:paraId="51415401" w14:textId="77777777" w:rsidTr="00BF05E0">
        <w:tc>
          <w:tcPr>
            <w:tcW w:w="1132" w:type="dxa"/>
            <w:vAlign w:val="center"/>
          </w:tcPr>
          <w:p w14:paraId="3020F795" w14:textId="038FB681" w:rsidR="0022799D" w:rsidRPr="00CC1FCD" w:rsidRDefault="008D37E9" w:rsidP="0022799D">
            <w:pPr>
              <w:rPr>
                <w:rFonts w:ascii="Times New Roman" w:hAnsi="Times New Roman"/>
                <w:sz w:val="24"/>
                <w:lang w:val="en-GB"/>
              </w:rPr>
            </w:pPr>
            <w:r w:rsidRPr="00CC1FCD">
              <w:rPr>
                <w:rFonts w:ascii="Times New Roman" w:hAnsi="Times New Roman"/>
                <w:sz w:val="24"/>
                <w:lang w:val="en-GB"/>
              </w:rPr>
              <w:t>0040</w:t>
            </w:r>
          </w:p>
        </w:tc>
        <w:tc>
          <w:tcPr>
            <w:tcW w:w="7555" w:type="dxa"/>
            <w:vAlign w:val="center"/>
          </w:tcPr>
          <w:p w14:paraId="7BC6CA2B" w14:textId="77777777" w:rsidR="0022799D" w:rsidRPr="00CC1FCD" w:rsidRDefault="0022799D" w:rsidP="0022799D">
            <w:pPr>
              <w:rPr>
                <w:rFonts w:ascii="Times New Roman" w:hAnsi="Times New Roman"/>
                <w:b/>
                <w:bCs/>
                <w:sz w:val="24"/>
                <w:u w:val="single"/>
                <w:lang w:val="en-GB"/>
              </w:rPr>
            </w:pPr>
            <w:r w:rsidRPr="00CC1FCD">
              <w:rPr>
                <w:rFonts w:ascii="Times New Roman" w:hAnsi="Times New Roman"/>
                <w:b/>
                <w:bCs/>
                <w:sz w:val="24"/>
                <w:u w:val="single"/>
                <w:lang w:val="en-GB"/>
              </w:rPr>
              <w:t xml:space="preserve">Type of institution </w:t>
            </w:r>
          </w:p>
          <w:p w14:paraId="1446D8EC" w14:textId="09F0117D" w:rsidR="0022799D" w:rsidRPr="00CC1FCD" w:rsidRDefault="0022799D" w:rsidP="0022799D">
            <w:pPr>
              <w:rPr>
                <w:rFonts w:ascii="Times New Roman" w:hAnsi="Times New Roman"/>
                <w:sz w:val="24"/>
                <w:lang w:val="en-GB"/>
              </w:rPr>
            </w:pPr>
            <w:r w:rsidRPr="00CC1FCD">
              <w:rPr>
                <w:rFonts w:ascii="Times New Roman" w:hAnsi="Times New Roman"/>
                <w:sz w:val="24"/>
                <w:lang w:val="en-GB"/>
              </w:rPr>
              <w:t xml:space="preserve">The type of the institution in scope, </w:t>
            </w:r>
            <w:r w:rsidR="008D37E9" w:rsidRPr="00CC1FCD">
              <w:rPr>
                <w:rFonts w:ascii="Times New Roman" w:hAnsi="Times New Roman"/>
                <w:sz w:val="24"/>
                <w:lang w:val="en-GB"/>
              </w:rPr>
              <w:t xml:space="preserve">if applicable, </w:t>
            </w:r>
            <w:r w:rsidRPr="00CC1FCD">
              <w:rPr>
                <w:rFonts w:ascii="Times New Roman" w:hAnsi="Times New Roman"/>
                <w:sz w:val="24"/>
                <w:lang w:val="en-GB"/>
              </w:rPr>
              <w:t>depending on the</w:t>
            </w:r>
            <w:r w:rsidR="008D37E9" w:rsidRPr="00CC1FCD">
              <w:rPr>
                <w:rFonts w:ascii="Times New Roman" w:hAnsi="Times New Roman"/>
                <w:sz w:val="24"/>
                <w:lang w:val="en-GB"/>
              </w:rPr>
              <w:t xml:space="preserve"> entity in scope and of the</w:t>
            </w:r>
            <w:r w:rsidRPr="00CC1FCD">
              <w:rPr>
                <w:rFonts w:ascii="Times New Roman" w:hAnsi="Times New Roman"/>
                <w:sz w:val="24"/>
                <w:lang w:val="en-GB"/>
              </w:rPr>
              <w:t xml:space="preserve"> z-axis value for the template. The below list to be used:</w:t>
            </w:r>
          </w:p>
          <w:p w14:paraId="7CFC8E9A" w14:textId="77777777" w:rsidR="0022799D" w:rsidRPr="00CC1FCD" w:rsidRDefault="0022799D" w:rsidP="0022799D">
            <w:pPr>
              <w:pStyle w:val="ListParagraph"/>
              <w:numPr>
                <w:ilvl w:val="0"/>
                <w:numId w:val="25"/>
              </w:numPr>
              <w:spacing w:before="0" w:after="0"/>
              <w:ind w:left="714" w:hanging="357"/>
              <w:rPr>
                <w:rFonts w:ascii="Times New Roman" w:hAnsi="Times New Roman"/>
                <w:sz w:val="24"/>
                <w:lang w:val="en-GB"/>
              </w:rPr>
            </w:pPr>
            <w:r w:rsidRPr="00CC1FCD">
              <w:rPr>
                <w:rFonts w:ascii="Times New Roman" w:hAnsi="Times New Roman"/>
                <w:sz w:val="24"/>
                <w:lang w:val="en-GB"/>
              </w:rPr>
              <w:t>G-SII</w:t>
            </w:r>
          </w:p>
          <w:p w14:paraId="7FF7A4F9" w14:textId="77777777" w:rsidR="0022799D" w:rsidRPr="00CC1FCD" w:rsidRDefault="0022799D" w:rsidP="0022799D">
            <w:pPr>
              <w:pStyle w:val="ListParagraph"/>
              <w:numPr>
                <w:ilvl w:val="0"/>
                <w:numId w:val="25"/>
              </w:numPr>
              <w:spacing w:before="0" w:after="0"/>
              <w:ind w:left="714" w:hanging="357"/>
              <w:rPr>
                <w:rFonts w:ascii="Times New Roman" w:hAnsi="Times New Roman"/>
                <w:sz w:val="24"/>
                <w:lang w:val="en-GB"/>
              </w:rPr>
            </w:pPr>
            <w:r w:rsidRPr="00CC1FCD">
              <w:rPr>
                <w:rFonts w:ascii="Times New Roman" w:hAnsi="Times New Roman"/>
                <w:sz w:val="24"/>
                <w:lang w:val="en-GB"/>
              </w:rPr>
              <w:t>O-SII</w:t>
            </w:r>
          </w:p>
          <w:p w14:paraId="5A80EE8C" w14:textId="77777777" w:rsidR="0022799D" w:rsidRPr="00CC1FCD" w:rsidRDefault="0022799D" w:rsidP="0022799D">
            <w:pPr>
              <w:pStyle w:val="ListParagraph"/>
              <w:numPr>
                <w:ilvl w:val="0"/>
                <w:numId w:val="25"/>
              </w:numPr>
              <w:spacing w:before="0" w:after="0"/>
              <w:ind w:left="714" w:hanging="357"/>
              <w:rPr>
                <w:rFonts w:ascii="Times New Roman" w:hAnsi="Times New Roman"/>
                <w:sz w:val="24"/>
                <w:lang w:val="en-GB"/>
              </w:rPr>
            </w:pPr>
            <w:r w:rsidRPr="00CC1FCD">
              <w:rPr>
                <w:rFonts w:ascii="Times New Roman" w:hAnsi="Times New Roman"/>
                <w:sz w:val="24"/>
                <w:lang w:val="en-GB"/>
              </w:rPr>
              <w:t>Large Institution (other than G-SII or O-SII)</w:t>
            </w:r>
          </w:p>
          <w:p w14:paraId="1F4C6813" w14:textId="77777777" w:rsidR="0022799D" w:rsidRPr="00CC1FCD" w:rsidRDefault="0022799D" w:rsidP="0022799D">
            <w:pPr>
              <w:pStyle w:val="ListParagraph"/>
              <w:numPr>
                <w:ilvl w:val="0"/>
                <w:numId w:val="25"/>
              </w:numPr>
              <w:spacing w:before="0"/>
              <w:ind w:left="714" w:hanging="357"/>
              <w:rPr>
                <w:rFonts w:ascii="Times New Roman" w:hAnsi="Times New Roman"/>
                <w:sz w:val="24"/>
                <w:lang w:val="en-GB"/>
              </w:rPr>
            </w:pPr>
            <w:r w:rsidRPr="00CC1FCD">
              <w:rPr>
                <w:rFonts w:ascii="Times New Roman" w:hAnsi="Times New Roman"/>
                <w:sz w:val="24"/>
                <w:lang w:val="en-GB"/>
              </w:rPr>
              <w:t>Other (Regular and SNCIs)</w:t>
            </w:r>
          </w:p>
        </w:tc>
      </w:tr>
      <w:tr w:rsidR="0022799D" w:rsidRPr="00CC1FCD" w14:paraId="7319040B" w14:textId="77777777" w:rsidTr="00BF05E0">
        <w:tc>
          <w:tcPr>
            <w:tcW w:w="1132" w:type="dxa"/>
            <w:vAlign w:val="center"/>
          </w:tcPr>
          <w:p w14:paraId="52407F8E" w14:textId="3B59213F" w:rsidR="0022799D" w:rsidRPr="00CC1FCD" w:rsidRDefault="008D37E9" w:rsidP="0022799D">
            <w:pPr>
              <w:rPr>
                <w:rFonts w:ascii="Times New Roman" w:hAnsi="Times New Roman"/>
                <w:sz w:val="24"/>
                <w:lang w:val="en-GB"/>
              </w:rPr>
            </w:pPr>
            <w:r w:rsidRPr="00CC1FCD">
              <w:rPr>
                <w:rFonts w:ascii="Times New Roman" w:hAnsi="Times New Roman"/>
                <w:sz w:val="24"/>
                <w:lang w:val="en-GB"/>
              </w:rPr>
              <w:t>0050</w:t>
            </w:r>
          </w:p>
        </w:tc>
        <w:tc>
          <w:tcPr>
            <w:tcW w:w="7555" w:type="dxa"/>
            <w:vAlign w:val="center"/>
          </w:tcPr>
          <w:p w14:paraId="0F6A5895" w14:textId="77777777" w:rsidR="0022799D" w:rsidRPr="00CC1FCD" w:rsidRDefault="0022799D" w:rsidP="0022799D">
            <w:pPr>
              <w:rPr>
                <w:rFonts w:ascii="Times New Roman" w:hAnsi="Times New Roman"/>
                <w:b/>
                <w:bCs/>
                <w:sz w:val="24"/>
                <w:u w:val="single"/>
                <w:lang w:val="en-GB"/>
              </w:rPr>
            </w:pPr>
            <w:r w:rsidRPr="00CC1FCD">
              <w:rPr>
                <w:rFonts w:ascii="Times New Roman" w:hAnsi="Times New Roman"/>
                <w:b/>
                <w:bCs/>
                <w:sz w:val="24"/>
                <w:u w:val="single"/>
                <w:lang w:val="en-GB"/>
              </w:rPr>
              <w:t>Amount/Market value</w:t>
            </w:r>
          </w:p>
          <w:p w14:paraId="7DD5187A" w14:textId="77777777" w:rsidR="0022799D" w:rsidRPr="00CC1FCD" w:rsidRDefault="0022799D" w:rsidP="0022799D">
            <w:pPr>
              <w:rPr>
                <w:rFonts w:ascii="Times New Roman" w:hAnsi="Times New Roman"/>
                <w:b/>
                <w:bCs/>
                <w:sz w:val="24"/>
                <w:u w:val="single"/>
                <w:lang w:val="en-GB"/>
              </w:rPr>
            </w:pPr>
            <w:r w:rsidRPr="00CC1FCD">
              <w:rPr>
                <w:rFonts w:ascii="Times New Roman" w:hAnsi="Times New Roman"/>
                <w:sz w:val="24"/>
                <w:lang w:val="en-GB"/>
              </w:rPr>
              <w:t>The amount or market value of the holding, depending on the z-axis value for the template.</w:t>
            </w:r>
          </w:p>
        </w:tc>
      </w:tr>
      <w:tr w:rsidR="0022799D" w:rsidRPr="00CC1FCD" w14:paraId="371A3AE3" w14:textId="77777777" w:rsidTr="00BF05E0">
        <w:tc>
          <w:tcPr>
            <w:tcW w:w="1132" w:type="dxa"/>
            <w:vAlign w:val="center"/>
          </w:tcPr>
          <w:p w14:paraId="21BD006D" w14:textId="655D3212" w:rsidR="0022799D" w:rsidRPr="00CC1FCD" w:rsidRDefault="008D37E9" w:rsidP="0022799D">
            <w:pPr>
              <w:rPr>
                <w:rFonts w:ascii="Times New Roman" w:hAnsi="Times New Roman"/>
                <w:sz w:val="24"/>
                <w:lang w:val="en-GB"/>
              </w:rPr>
            </w:pPr>
            <w:r w:rsidRPr="00CC1FCD">
              <w:rPr>
                <w:rFonts w:ascii="Times New Roman" w:hAnsi="Times New Roman"/>
                <w:sz w:val="24"/>
                <w:lang w:val="en-GB"/>
              </w:rPr>
              <w:t>0060</w:t>
            </w:r>
          </w:p>
        </w:tc>
        <w:tc>
          <w:tcPr>
            <w:tcW w:w="7555" w:type="dxa"/>
            <w:vAlign w:val="center"/>
          </w:tcPr>
          <w:p w14:paraId="6AC614C3" w14:textId="77777777" w:rsidR="0022799D" w:rsidRPr="00CC1FCD" w:rsidRDefault="0022799D" w:rsidP="0022799D">
            <w:pPr>
              <w:rPr>
                <w:rFonts w:ascii="Times New Roman" w:hAnsi="Times New Roman"/>
                <w:b/>
                <w:bCs/>
                <w:sz w:val="24"/>
                <w:u w:val="single"/>
                <w:lang w:val="en-GB"/>
              </w:rPr>
            </w:pPr>
            <w:r w:rsidRPr="00CC1FCD">
              <w:rPr>
                <w:rFonts w:ascii="Times New Roman" w:hAnsi="Times New Roman"/>
                <w:b/>
                <w:bCs/>
                <w:sz w:val="24"/>
                <w:u w:val="single"/>
                <w:lang w:val="en-GB"/>
              </w:rPr>
              <w:t>As % of total holdings</w:t>
            </w:r>
          </w:p>
          <w:p w14:paraId="4C175B66" w14:textId="77777777" w:rsidR="0022799D" w:rsidRPr="00CC1FCD" w:rsidRDefault="0022799D" w:rsidP="0022799D">
            <w:pPr>
              <w:rPr>
                <w:rFonts w:ascii="Times New Roman" w:hAnsi="Times New Roman"/>
                <w:b/>
                <w:bCs/>
                <w:sz w:val="24"/>
                <w:u w:val="single"/>
                <w:lang w:val="en-GB"/>
              </w:rPr>
            </w:pPr>
            <w:r w:rsidRPr="00CC1FCD">
              <w:rPr>
                <w:rFonts w:ascii="Times New Roman" w:hAnsi="Times New Roman"/>
                <w:sz w:val="24"/>
                <w:lang w:val="en-GB"/>
              </w:rPr>
              <w:t>The percentage of the reported value in column 0040 of this template compared to the relevant total holdings.</w:t>
            </w:r>
          </w:p>
        </w:tc>
      </w:tr>
    </w:tbl>
    <w:p w14:paraId="0451E059" w14:textId="77777777" w:rsidR="00163E6F" w:rsidRPr="00CC1FCD" w:rsidRDefault="00163E6F" w:rsidP="00163E6F">
      <w:pPr>
        <w:rPr>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63E6F" w:rsidRPr="00CC1FCD" w14:paraId="694F21EF" w14:textId="77777777" w:rsidTr="743F314D">
        <w:trPr>
          <w:trHeight w:val="638"/>
        </w:trPr>
        <w:tc>
          <w:tcPr>
            <w:tcW w:w="1129" w:type="dxa"/>
            <w:shd w:val="clear" w:color="auto" w:fill="D9D9D9" w:themeFill="background1" w:themeFillShade="D9"/>
            <w:vAlign w:val="center"/>
          </w:tcPr>
          <w:p w14:paraId="54186D8E" w14:textId="77777777" w:rsidR="00163E6F" w:rsidRPr="00CC1FCD" w:rsidRDefault="00163E6F" w:rsidP="00C76F31">
            <w:pPr>
              <w:pStyle w:val="InstructionsText"/>
              <w:rPr>
                <w:rStyle w:val="InstructionsTabelleText"/>
                <w:rFonts w:ascii="Times New Roman" w:hAnsi="Times New Roman"/>
                <w:bCs w:val="0"/>
                <w:sz w:val="24"/>
                <w:szCs w:val="24"/>
                <w:lang w:val="en-GB" w:eastAsia="en-US"/>
              </w:rPr>
            </w:pPr>
            <w:r w:rsidRPr="00CC1FCD">
              <w:rPr>
                <w:rStyle w:val="InstructionsTabelleText"/>
                <w:rFonts w:ascii="Times New Roman" w:hAnsi="Times New Roman"/>
                <w:sz w:val="24"/>
                <w:szCs w:val="24"/>
                <w:lang w:val="en-GB"/>
              </w:rPr>
              <w:t>z-axis</w:t>
            </w:r>
          </w:p>
        </w:tc>
        <w:tc>
          <w:tcPr>
            <w:tcW w:w="7620" w:type="dxa"/>
            <w:shd w:val="clear" w:color="auto" w:fill="D9D9D9" w:themeFill="background1" w:themeFillShade="D9"/>
            <w:vAlign w:val="center"/>
          </w:tcPr>
          <w:p w14:paraId="482FB568" w14:textId="77777777" w:rsidR="00163E6F" w:rsidRPr="00CC1FCD" w:rsidRDefault="00163E6F" w:rsidP="00C76F31">
            <w:pPr>
              <w:pStyle w:val="InstructionsText"/>
              <w:rPr>
                <w:rStyle w:val="InstructionsTabelleText"/>
                <w:rFonts w:ascii="Times New Roman" w:hAnsi="Times New Roman"/>
                <w:bCs w:val="0"/>
                <w:sz w:val="24"/>
                <w:szCs w:val="24"/>
                <w:lang w:val="en-GB" w:eastAsia="en-US"/>
              </w:rPr>
            </w:pPr>
            <w:r w:rsidRPr="00CC1FCD">
              <w:rPr>
                <w:rStyle w:val="InstructionsTabelleText"/>
                <w:rFonts w:ascii="Times New Roman" w:hAnsi="Times New Roman"/>
                <w:sz w:val="24"/>
                <w:szCs w:val="24"/>
                <w:lang w:val="en-GB"/>
              </w:rPr>
              <w:t>Legal references and instructions</w:t>
            </w:r>
          </w:p>
        </w:tc>
      </w:tr>
      <w:tr w:rsidR="00163E6F" w:rsidRPr="00CC1FCD" w14:paraId="06C7D981" w14:textId="77777777" w:rsidTr="743F314D">
        <w:tc>
          <w:tcPr>
            <w:tcW w:w="1129" w:type="dxa"/>
            <w:vAlign w:val="center"/>
          </w:tcPr>
          <w:p w14:paraId="2BB0CA87" w14:textId="77777777" w:rsidR="008B1C28" w:rsidRDefault="00163E6F" w:rsidP="00C76F31">
            <w:pPr>
              <w:pStyle w:val="InstructionsText"/>
              <w:rPr>
                <w:rStyle w:val="FormatvorlageInstructionsTabelleText"/>
                <w:rFonts w:ascii="Times New Roman" w:hAnsi="Times New Roman"/>
                <w:sz w:val="24"/>
                <w:szCs w:val="24"/>
                <w:lang w:val="en-GB" w:eastAsia="en-US"/>
              </w:rPr>
            </w:pPr>
            <w:r w:rsidRPr="00CC1FCD">
              <w:rPr>
                <w:rStyle w:val="FormatvorlageInstructionsTabelleText"/>
                <w:rFonts w:ascii="Times New Roman" w:hAnsi="Times New Roman"/>
                <w:sz w:val="24"/>
                <w:szCs w:val="24"/>
                <w:lang w:val="en-GB" w:eastAsia="en-US"/>
              </w:rPr>
              <w:lastRenderedPageBreak/>
              <w:t>Qualify</w:t>
            </w:r>
            <w:r w:rsidR="008B1C28">
              <w:rPr>
                <w:rStyle w:val="FormatvorlageInstructionsTabelleText"/>
                <w:rFonts w:ascii="Times New Roman" w:hAnsi="Times New Roman"/>
                <w:sz w:val="24"/>
                <w:szCs w:val="24"/>
                <w:lang w:val="en-GB" w:eastAsia="en-US"/>
              </w:rPr>
              <w:t>-</w:t>
            </w:r>
            <w:proofErr w:type="spellStart"/>
            <w:r w:rsidRPr="00CC1FCD">
              <w:rPr>
                <w:rStyle w:val="FormatvorlageInstructionsTabelleText"/>
                <w:rFonts w:ascii="Times New Roman" w:hAnsi="Times New Roman"/>
                <w:sz w:val="24"/>
                <w:szCs w:val="24"/>
                <w:lang w:val="en-GB" w:eastAsia="en-US"/>
              </w:rPr>
              <w:t>ing</w:t>
            </w:r>
            <w:proofErr w:type="spellEnd"/>
            <w:r w:rsidRPr="00CC1FCD">
              <w:rPr>
                <w:rStyle w:val="FormatvorlageInstructionsTabelleText"/>
                <w:rFonts w:ascii="Times New Roman" w:hAnsi="Times New Roman"/>
                <w:sz w:val="24"/>
                <w:szCs w:val="24"/>
                <w:lang w:val="en-GB" w:eastAsia="en-US"/>
              </w:rPr>
              <w:t xml:space="preserve"> holders/</w:t>
            </w:r>
          </w:p>
          <w:p w14:paraId="1BD5AEC9" w14:textId="38566533" w:rsidR="00163E6F" w:rsidRPr="00CC1FCD" w:rsidRDefault="00163E6F" w:rsidP="00C76F31">
            <w:pPr>
              <w:pStyle w:val="InstructionsText"/>
              <w:rPr>
                <w:rStyle w:val="FormatvorlageInstructionsTabelleText"/>
                <w:rFonts w:ascii="Times New Roman" w:hAnsi="Times New Roman"/>
                <w:sz w:val="24"/>
                <w:szCs w:val="24"/>
                <w:lang w:val="en-GB" w:eastAsia="en-US"/>
              </w:rPr>
            </w:pPr>
            <w:r w:rsidRPr="00CC1FCD">
              <w:rPr>
                <w:rStyle w:val="FormatvorlageInstructionsTabelleText"/>
                <w:rFonts w:ascii="Times New Roman" w:hAnsi="Times New Roman"/>
                <w:sz w:val="24"/>
                <w:szCs w:val="24"/>
                <w:lang w:val="en-GB" w:eastAsia="en-US"/>
              </w:rPr>
              <w:t>holdings</w:t>
            </w:r>
          </w:p>
        </w:tc>
        <w:tc>
          <w:tcPr>
            <w:tcW w:w="7620" w:type="dxa"/>
            <w:vAlign w:val="center"/>
          </w:tcPr>
          <w:p w14:paraId="6F9F0A24" w14:textId="1FD40227" w:rsidR="00163E6F" w:rsidRPr="00CC1FCD" w:rsidRDefault="00163E6F" w:rsidP="00BF05E0">
            <w:pPr>
              <w:rPr>
                <w:rFonts w:ascii="Times New Roman" w:hAnsi="Times New Roman"/>
                <w:sz w:val="24"/>
              </w:rPr>
            </w:pPr>
            <w:r w:rsidRPr="00CC1FCD">
              <w:rPr>
                <w:rFonts w:ascii="Times New Roman" w:hAnsi="Times New Roman"/>
                <w:sz w:val="24"/>
              </w:rPr>
              <w:t xml:space="preserve">The issuer </w:t>
            </w:r>
            <w:r w:rsidR="004E670D" w:rsidRPr="00CC1FCD">
              <w:rPr>
                <w:rFonts w:ascii="Times New Roman" w:hAnsi="Times New Roman"/>
                <w:sz w:val="24"/>
              </w:rPr>
              <w:t>should</w:t>
            </w:r>
            <w:r w:rsidRPr="00CC1FCD">
              <w:rPr>
                <w:rFonts w:ascii="Times New Roman" w:hAnsi="Times New Roman"/>
                <w:sz w:val="24"/>
              </w:rPr>
              <w:t xml:space="preserve"> report separate templates for each of the following types: </w:t>
            </w:r>
          </w:p>
          <w:p w14:paraId="4354FEF7" w14:textId="77777777" w:rsidR="00163E6F" w:rsidRPr="00CC1FCD" w:rsidRDefault="00163E6F" w:rsidP="00974FC4">
            <w:pPr>
              <w:pStyle w:val="ListParagraph"/>
              <w:numPr>
                <w:ilvl w:val="0"/>
                <w:numId w:val="23"/>
              </w:numPr>
              <w:spacing w:before="0"/>
              <w:contextualSpacing/>
              <w:rPr>
                <w:rFonts w:ascii="Times New Roman" w:hAnsi="Times New Roman"/>
                <w:sz w:val="24"/>
              </w:rPr>
            </w:pPr>
            <w:r w:rsidRPr="00CC1FCD">
              <w:rPr>
                <w:rFonts w:ascii="Times New Roman" w:hAnsi="Times New Roman"/>
                <w:sz w:val="24"/>
              </w:rPr>
              <w:t>Key qualifying holders</w:t>
            </w:r>
          </w:p>
          <w:p w14:paraId="2EC6152F" w14:textId="77777777" w:rsidR="00163E6F" w:rsidRPr="00CC1FCD" w:rsidRDefault="00163E6F" w:rsidP="00974FC4">
            <w:pPr>
              <w:pStyle w:val="ListParagraph"/>
              <w:numPr>
                <w:ilvl w:val="0"/>
                <w:numId w:val="23"/>
              </w:numPr>
              <w:spacing w:before="0"/>
              <w:contextualSpacing/>
              <w:rPr>
                <w:rFonts w:ascii="Times New Roman" w:hAnsi="Times New Roman"/>
                <w:sz w:val="24"/>
              </w:rPr>
            </w:pPr>
            <w:r w:rsidRPr="00CC1FCD">
              <w:rPr>
                <w:rFonts w:ascii="Times New Roman" w:hAnsi="Times New Roman"/>
                <w:sz w:val="24"/>
              </w:rPr>
              <w:t>Acquisitions of qualifying holdings</w:t>
            </w:r>
          </w:p>
          <w:p w14:paraId="0027828C" w14:textId="77777777" w:rsidR="00163E6F" w:rsidRPr="00CC1FCD" w:rsidRDefault="00163E6F" w:rsidP="00974FC4">
            <w:pPr>
              <w:pStyle w:val="ListParagraph"/>
              <w:numPr>
                <w:ilvl w:val="0"/>
                <w:numId w:val="23"/>
              </w:numPr>
              <w:spacing w:before="0"/>
              <w:contextualSpacing/>
              <w:rPr>
                <w:rFonts w:ascii="Times New Roman" w:hAnsi="Times New Roman"/>
                <w:sz w:val="24"/>
              </w:rPr>
            </w:pPr>
            <w:r w:rsidRPr="00CC1FCD">
              <w:rPr>
                <w:rFonts w:ascii="Times New Roman" w:hAnsi="Times New Roman"/>
                <w:sz w:val="24"/>
              </w:rPr>
              <w:t>Disposals of qualifying holdings</w:t>
            </w:r>
          </w:p>
        </w:tc>
      </w:tr>
    </w:tbl>
    <w:p w14:paraId="1A1F25FB" w14:textId="1390DE39" w:rsidR="003C71A3" w:rsidRPr="00CC1FCD" w:rsidRDefault="003C71A3" w:rsidP="00E91F4B">
      <w:pPr>
        <w:pStyle w:val="Instructionsberschrift2"/>
        <w:numPr>
          <w:ilvl w:val="0"/>
          <w:numId w:val="13"/>
        </w:numPr>
        <w:rPr>
          <w:sz w:val="22"/>
          <w:szCs w:val="22"/>
        </w:rPr>
      </w:pPr>
      <w:bookmarkStart w:id="63" w:name="_Toc181699812"/>
      <w:bookmarkStart w:id="64" w:name="_Toc184211455"/>
      <w:r w:rsidRPr="00CC1FCD">
        <w:rPr>
          <w:sz w:val="22"/>
          <w:szCs w:val="22"/>
        </w:rPr>
        <w:t xml:space="preserve">General remarks on </w:t>
      </w:r>
      <w:r w:rsidR="008B1C28">
        <w:rPr>
          <w:sz w:val="22"/>
          <w:szCs w:val="22"/>
        </w:rPr>
        <w:t>t</w:t>
      </w:r>
      <w:r w:rsidRPr="00CC1FCD">
        <w:rPr>
          <w:sz w:val="22"/>
          <w:szCs w:val="22"/>
        </w:rPr>
        <w:t xml:space="preserve">emplate </w:t>
      </w:r>
      <w:r w:rsidR="006E23CE" w:rsidRPr="00CC1FCD">
        <w:rPr>
          <w:sz w:val="22"/>
          <w:szCs w:val="22"/>
        </w:rPr>
        <w:t>S 10.03</w:t>
      </w:r>
      <w:bookmarkEnd w:id="63"/>
      <w:bookmarkEnd w:id="64"/>
    </w:p>
    <w:p w14:paraId="3800C16F" w14:textId="20A0BAF3" w:rsidR="003C71A3" w:rsidRPr="00CC1FCD" w:rsidRDefault="003C71A3" w:rsidP="00C76F31">
      <w:pPr>
        <w:pStyle w:val="InstructionsText2"/>
        <w:rPr>
          <w:lang w:val="en-GB"/>
        </w:rPr>
      </w:pPr>
      <w:r w:rsidRPr="00CC1FCD">
        <w:rPr>
          <w:lang w:val="en-GB"/>
        </w:rPr>
        <w:t xml:space="preserve">Template </w:t>
      </w:r>
      <w:r w:rsidR="006E23CE" w:rsidRPr="00CC1FCD">
        <w:rPr>
          <w:lang w:val="en-GB"/>
        </w:rPr>
        <w:t>S 10.03</w:t>
      </w:r>
      <w:r w:rsidRPr="00CC1FCD">
        <w:rPr>
          <w:lang w:val="en-GB"/>
        </w:rPr>
        <w:t xml:space="preserve"> include</w:t>
      </w:r>
      <w:r w:rsidR="00D9319D" w:rsidRPr="00CC1FCD">
        <w:rPr>
          <w:lang w:val="en-GB"/>
        </w:rPr>
        <w:t>s</w:t>
      </w:r>
      <w:r w:rsidRPr="00CC1FCD">
        <w:rPr>
          <w:lang w:val="en-GB"/>
        </w:rPr>
        <w:t xml:space="preserve"> information on the average number and average aggregate value of transactions per day during the reporting period, that are associated </w:t>
      </w:r>
      <w:r w:rsidR="008B1C28">
        <w:rPr>
          <w:lang w:val="en-GB"/>
        </w:rPr>
        <w:t>with</w:t>
      </w:r>
      <w:r w:rsidRPr="00CC1FCD">
        <w:rPr>
          <w:lang w:val="en-GB"/>
        </w:rPr>
        <w:t xml:space="preserve"> its uses as a means of exchange and either considered as </w:t>
      </w:r>
      <w:r w:rsidR="008B1C28">
        <w:rPr>
          <w:lang w:val="en-GB"/>
        </w:rPr>
        <w:t xml:space="preserve">an </w:t>
      </w:r>
      <w:r w:rsidRPr="00CC1FCD">
        <w:rPr>
          <w:lang w:val="en-GB"/>
        </w:rPr>
        <w:t xml:space="preserve">inflow to or </w:t>
      </w:r>
      <w:r w:rsidR="008B1C28">
        <w:rPr>
          <w:lang w:val="en-GB"/>
        </w:rPr>
        <w:t xml:space="preserve">an </w:t>
      </w:r>
      <w:r w:rsidRPr="00CC1FCD">
        <w:rPr>
          <w:lang w:val="en-GB"/>
        </w:rPr>
        <w:t>outflow from the EU. This information provided with this template will be relevant for the significance assessment following Article 43(1)(e) and as further specified in Article 2(1)(b) of</w:t>
      </w:r>
      <w:r w:rsidR="00D26A1F" w:rsidRPr="00CC1FCD">
        <w:rPr>
          <w:lang w:val="en-GB"/>
        </w:rPr>
        <w:t xml:space="preserve"> </w:t>
      </w:r>
      <w:r w:rsidR="002252E0" w:rsidRPr="00CC1FCD">
        <w:rPr>
          <w:lang w:val="en-GB"/>
        </w:rPr>
        <w:t>Commission Delegated Regulation (EU) 2024/1506</w:t>
      </w:r>
      <w:r w:rsidR="00E37CE2" w:rsidRPr="00CC1FCD">
        <w:rPr>
          <w:lang w:val="en-GB"/>
        </w:rPr>
        <w:t>.</w:t>
      </w:r>
    </w:p>
    <w:p w14:paraId="15895BBC" w14:textId="553D807D" w:rsidR="00360D15" w:rsidRPr="00CC1FCD" w:rsidRDefault="00360D15" w:rsidP="00C76F31">
      <w:pPr>
        <w:pStyle w:val="InstructionsText2"/>
        <w:rPr>
          <w:lang w:val="en-GB"/>
        </w:rPr>
      </w:pPr>
      <w:proofErr w:type="gramStart"/>
      <w:r w:rsidRPr="00CC1FCD">
        <w:rPr>
          <w:lang w:val="en-GB"/>
        </w:rPr>
        <w:t>For the purpose of</w:t>
      </w:r>
      <w:proofErr w:type="gramEnd"/>
      <w:r w:rsidRPr="00CC1FCD">
        <w:rPr>
          <w:lang w:val="en-GB"/>
        </w:rPr>
        <w:t xml:space="preserve"> this template, </w:t>
      </w:r>
      <w:r w:rsidR="008F7BEC" w:rsidRPr="00CC1FCD">
        <w:rPr>
          <w:lang w:val="en-GB"/>
        </w:rPr>
        <w:t xml:space="preserve">those </w:t>
      </w:r>
      <w:r w:rsidRPr="00CC1FCD">
        <w:rPr>
          <w:lang w:val="en-GB"/>
        </w:rPr>
        <w:t>transactions</w:t>
      </w:r>
      <w:r w:rsidR="008F7BEC" w:rsidRPr="00CC1FCD">
        <w:rPr>
          <w:lang w:val="en-GB"/>
        </w:rPr>
        <w:t xml:space="preserve"> should be in scope that are defined in Article 22 of </w:t>
      </w:r>
      <w:r w:rsidR="00AD5987" w:rsidRPr="00CC1FCD">
        <w:rPr>
          <w:lang w:val="en-GB"/>
        </w:rPr>
        <w:t>Regulation (EU) 2023/1114</w:t>
      </w:r>
      <w:r w:rsidR="008F7BEC" w:rsidRPr="00CC1FCD">
        <w:rPr>
          <w:lang w:val="en-GB"/>
        </w:rPr>
        <w:t xml:space="preserve"> and further specified in</w:t>
      </w:r>
      <w:r w:rsidR="00486FB5" w:rsidRPr="00CC1FCD">
        <w:rPr>
          <w:lang w:val="en-GB"/>
        </w:rPr>
        <w:t xml:space="preserve"> </w:t>
      </w:r>
      <w:r w:rsidR="008B1C28">
        <w:rPr>
          <w:lang w:val="en-GB"/>
        </w:rPr>
        <w:t xml:space="preserve">the </w:t>
      </w:r>
      <w:r w:rsidR="00486FB5" w:rsidRPr="00CC1FCD">
        <w:rPr>
          <w:lang w:val="en-GB"/>
        </w:rPr>
        <w:t>regulatory technical standards adopted by the Commission pursuant to Article 22(6) of Regulation (EU) 2023/1114</w:t>
      </w:r>
      <w:r w:rsidR="008F7BEC" w:rsidRPr="00CC1FCD">
        <w:rPr>
          <w:lang w:val="en-GB"/>
        </w:rPr>
        <w:t xml:space="preserve"> as transactions</w:t>
      </w:r>
      <w:r w:rsidRPr="00CC1FCD">
        <w:rPr>
          <w:lang w:val="en-GB"/>
        </w:rPr>
        <w:t xml:space="preserve"> associated </w:t>
      </w:r>
      <w:r w:rsidR="008B1C28">
        <w:rPr>
          <w:lang w:val="en-GB"/>
        </w:rPr>
        <w:t>with</w:t>
      </w:r>
      <w:r w:rsidRPr="00CC1FCD">
        <w:rPr>
          <w:lang w:val="en-GB"/>
        </w:rPr>
        <w:t xml:space="preserve"> its uses as a means of exchange</w:t>
      </w:r>
      <w:r w:rsidR="008F7BEC" w:rsidRPr="00CC1FCD">
        <w:rPr>
          <w:lang w:val="en-GB"/>
        </w:rPr>
        <w:t>.</w:t>
      </w:r>
    </w:p>
    <w:p w14:paraId="722E6944" w14:textId="337726A2" w:rsidR="00204A23" w:rsidRPr="00CC1FCD" w:rsidRDefault="003C71A3" w:rsidP="00C76F31">
      <w:pPr>
        <w:pStyle w:val="InstructionsText2"/>
        <w:rPr>
          <w:rStyle w:val="InstructionsTabelleberschrift"/>
          <w:rFonts w:ascii="Times New Roman" w:hAnsi="Times New Roman"/>
          <w:b w:val="0"/>
          <w:bCs/>
          <w:sz w:val="22"/>
          <w:u w:val="none"/>
          <w:lang w:val="en-GB"/>
        </w:rPr>
      </w:pPr>
      <w:r w:rsidRPr="00CC1FCD">
        <w:rPr>
          <w:lang w:val="en-GB"/>
        </w:rPr>
        <w:t>This template should follow the requirements</w:t>
      </w:r>
      <w:r w:rsidR="00204A23" w:rsidRPr="00CC1FCD">
        <w:rPr>
          <w:lang w:val="en-GB"/>
        </w:rPr>
        <w:t>, methodology and scope</w:t>
      </w:r>
      <w:r w:rsidRPr="00CC1FCD">
        <w:rPr>
          <w:lang w:val="en-GB"/>
        </w:rPr>
        <w:t xml:space="preserve"> set out by</w:t>
      </w:r>
      <w:r w:rsidR="00837949" w:rsidRPr="00CC1FCD">
        <w:rPr>
          <w:lang w:val="en-GB"/>
        </w:rPr>
        <w:t xml:space="preserve"> </w:t>
      </w:r>
      <w:r w:rsidR="008B1C28">
        <w:rPr>
          <w:lang w:val="en-GB"/>
        </w:rPr>
        <w:t xml:space="preserve">the </w:t>
      </w:r>
      <w:r w:rsidR="00837949" w:rsidRPr="00CC1FCD">
        <w:rPr>
          <w:lang w:val="en-GB"/>
        </w:rPr>
        <w:t>regulatory technical standards adopted by the Commission pursuant to Article 22(6) of Regulation (EU) 2023/1114</w:t>
      </w:r>
      <w:r w:rsidRPr="00CC1FCD">
        <w:rPr>
          <w:rStyle w:val="InstructionsTabelleberschrift"/>
          <w:rFonts w:ascii="Times New Roman" w:hAnsi="Times New Roman"/>
          <w:b w:val="0"/>
          <w:bCs/>
          <w:sz w:val="22"/>
          <w:u w:val="none"/>
          <w:lang w:val="en-GB"/>
        </w:rPr>
        <w:t xml:space="preserve">, </w:t>
      </w:r>
      <w:proofErr w:type="gramStart"/>
      <w:r w:rsidRPr="00CC1FCD">
        <w:rPr>
          <w:rStyle w:val="InstructionsTabelleberschrift"/>
          <w:rFonts w:ascii="Times New Roman" w:hAnsi="Times New Roman"/>
          <w:b w:val="0"/>
          <w:bCs/>
          <w:sz w:val="22"/>
          <w:u w:val="none"/>
          <w:lang w:val="en-GB"/>
        </w:rPr>
        <w:t xml:space="preserve">with the exception </w:t>
      </w:r>
      <w:r w:rsidR="00204A23" w:rsidRPr="00CC1FCD">
        <w:rPr>
          <w:rStyle w:val="InstructionsTabelleberschrift"/>
          <w:rFonts w:ascii="Times New Roman" w:hAnsi="Times New Roman"/>
          <w:b w:val="0"/>
          <w:bCs/>
          <w:sz w:val="22"/>
          <w:u w:val="none"/>
          <w:lang w:val="en-GB"/>
        </w:rPr>
        <w:t>of</w:t>
      </w:r>
      <w:proofErr w:type="gramEnd"/>
      <w:r w:rsidR="00204A23" w:rsidRPr="00CC1FCD">
        <w:rPr>
          <w:rStyle w:val="InstructionsTabelleberschrift"/>
          <w:rFonts w:ascii="Times New Roman" w:hAnsi="Times New Roman"/>
          <w:b w:val="0"/>
          <w:bCs/>
          <w:sz w:val="22"/>
          <w:u w:val="none"/>
          <w:lang w:val="en-GB"/>
        </w:rPr>
        <w:t xml:space="preserve"> the following specifications:</w:t>
      </w:r>
    </w:p>
    <w:p w14:paraId="4D1B0D63" w14:textId="7D11EBEA" w:rsidR="00204A23" w:rsidRPr="00CC1FCD" w:rsidRDefault="00204A23" w:rsidP="00C76F31">
      <w:pPr>
        <w:pStyle w:val="InstructionsText2"/>
        <w:numPr>
          <w:ilvl w:val="1"/>
          <w:numId w:val="15"/>
        </w:numPr>
        <w:rPr>
          <w:rStyle w:val="InstructionsTabelleberschrift"/>
          <w:rFonts w:ascii="Times New Roman" w:hAnsi="Times New Roman"/>
          <w:b w:val="0"/>
          <w:bCs/>
          <w:sz w:val="22"/>
          <w:u w:val="none"/>
          <w:lang w:val="en-GB"/>
        </w:rPr>
      </w:pPr>
      <w:r w:rsidRPr="00CC1FCD">
        <w:rPr>
          <w:rStyle w:val="InstructionsTabelleberschrift"/>
          <w:rFonts w:ascii="Times New Roman" w:hAnsi="Times New Roman"/>
          <w:b w:val="0"/>
          <w:bCs/>
          <w:sz w:val="22"/>
          <w:u w:val="none"/>
          <w:lang w:val="en-GB"/>
        </w:rPr>
        <w:t>F</w:t>
      </w:r>
      <w:r w:rsidR="003C71A3" w:rsidRPr="00CC1FCD">
        <w:rPr>
          <w:rStyle w:val="InstructionsTabelleberschrift"/>
          <w:rFonts w:ascii="Times New Roman" w:hAnsi="Times New Roman"/>
          <w:b w:val="0"/>
          <w:bCs/>
          <w:sz w:val="22"/>
          <w:u w:val="none"/>
          <w:lang w:val="en-GB"/>
        </w:rPr>
        <w:t>or this template the token</w:t>
      </w:r>
      <w:r w:rsidR="004B1BFB" w:rsidRPr="00CC1FCD">
        <w:rPr>
          <w:rStyle w:val="InstructionsTabelleberschrift"/>
          <w:rFonts w:ascii="Times New Roman" w:hAnsi="Times New Roman"/>
          <w:b w:val="0"/>
          <w:bCs/>
          <w:sz w:val="22"/>
          <w:u w:val="none"/>
          <w:lang w:val="en-GB"/>
        </w:rPr>
        <w:t>s</w:t>
      </w:r>
      <w:r w:rsidR="003C71A3" w:rsidRPr="00CC1FCD">
        <w:rPr>
          <w:rStyle w:val="InstructionsTabelleberschrift"/>
          <w:rFonts w:ascii="Times New Roman" w:hAnsi="Times New Roman"/>
          <w:b w:val="0"/>
          <w:bCs/>
          <w:sz w:val="22"/>
          <w:u w:val="none"/>
          <w:lang w:val="en-GB"/>
        </w:rPr>
        <w:t xml:space="preserve"> in scope </w:t>
      </w:r>
      <w:r w:rsidR="004B1BFB" w:rsidRPr="00CC1FCD">
        <w:rPr>
          <w:rStyle w:val="InstructionsTabelleberschrift"/>
          <w:rFonts w:ascii="Times New Roman" w:hAnsi="Times New Roman"/>
          <w:b w:val="0"/>
          <w:bCs/>
          <w:sz w:val="22"/>
          <w:u w:val="none"/>
          <w:lang w:val="en-GB"/>
        </w:rPr>
        <w:t>should</w:t>
      </w:r>
      <w:r w:rsidR="003C71A3" w:rsidRPr="00CC1FCD">
        <w:rPr>
          <w:rStyle w:val="InstructionsTabelleberschrift"/>
          <w:rFonts w:ascii="Times New Roman" w:hAnsi="Times New Roman"/>
          <w:b w:val="0"/>
          <w:bCs/>
          <w:sz w:val="22"/>
          <w:u w:val="none"/>
          <w:lang w:val="en-GB"/>
        </w:rPr>
        <w:t xml:space="preserve"> be all asset-reference tokens and e-money tokens, including e-money tokens referencing an EU currency. </w:t>
      </w:r>
    </w:p>
    <w:p w14:paraId="1009A275" w14:textId="26F6652F" w:rsidR="003C71A3" w:rsidRPr="00CC1FCD" w:rsidRDefault="00204A23" w:rsidP="00C76F31">
      <w:pPr>
        <w:pStyle w:val="InstructionsText2"/>
        <w:numPr>
          <w:ilvl w:val="1"/>
          <w:numId w:val="15"/>
        </w:numPr>
        <w:rPr>
          <w:lang w:val="en-GB"/>
        </w:rPr>
      </w:pPr>
      <w:r w:rsidRPr="00CC1FCD">
        <w:rPr>
          <w:rStyle w:val="InstructionsTabelleberschrift"/>
          <w:rFonts w:ascii="Times New Roman" w:hAnsi="Times New Roman"/>
          <w:b w:val="0"/>
          <w:bCs/>
          <w:sz w:val="22"/>
          <w:u w:val="none"/>
          <w:lang w:val="en-GB"/>
        </w:rPr>
        <w:t>For</w:t>
      </w:r>
      <w:r w:rsidR="003C71A3" w:rsidRPr="00CC1FCD">
        <w:rPr>
          <w:rStyle w:val="InstructionsTabelleberschrift"/>
          <w:rFonts w:ascii="Times New Roman" w:hAnsi="Times New Roman"/>
          <w:b w:val="0"/>
          <w:bCs/>
          <w:sz w:val="22"/>
          <w:u w:val="none"/>
          <w:lang w:val="en-GB"/>
        </w:rPr>
        <w:t xml:space="preserve"> this template</w:t>
      </w:r>
      <w:r w:rsidR="003C71A3" w:rsidRPr="00CC1FCD">
        <w:rPr>
          <w:rStyle w:val="InstructionsTabelleberschrift"/>
          <w:rFonts w:ascii="Times New Roman" w:hAnsi="Times New Roman"/>
          <w:sz w:val="22"/>
          <w:u w:val="none"/>
          <w:lang w:val="en-GB"/>
        </w:rPr>
        <w:t xml:space="preserve"> </w:t>
      </w:r>
      <w:r w:rsidR="003C71A3" w:rsidRPr="00CC1FCD">
        <w:rPr>
          <w:lang w:val="en-GB"/>
        </w:rPr>
        <w:t>either the payee or the payer</w:t>
      </w:r>
      <w:r w:rsidRPr="00CC1FCD">
        <w:rPr>
          <w:lang w:val="en-GB"/>
        </w:rPr>
        <w:t xml:space="preserve"> of the transaction</w:t>
      </w:r>
      <w:r w:rsidR="003C71A3" w:rsidRPr="00CC1FCD">
        <w:rPr>
          <w:lang w:val="en-GB"/>
        </w:rPr>
        <w:t xml:space="preserve"> is located within the EU.</w:t>
      </w:r>
      <w:r w:rsidRPr="00CC1FCD">
        <w:rPr>
          <w:lang w:val="en-GB"/>
        </w:rPr>
        <w:t xml:space="preserve"> When the payer is the one located in the EU, those transactions </w:t>
      </w:r>
      <w:r w:rsidR="00555AED">
        <w:rPr>
          <w:lang w:val="en-GB"/>
        </w:rPr>
        <w:t xml:space="preserve">are </w:t>
      </w:r>
      <w:r w:rsidRPr="00CC1FCD">
        <w:rPr>
          <w:lang w:val="en-GB"/>
        </w:rPr>
        <w:t xml:space="preserve">to be </w:t>
      </w:r>
      <w:proofErr w:type="gramStart"/>
      <w:r w:rsidRPr="00CC1FCD">
        <w:rPr>
          <w:lang w:val="en-GB"/>
        </w:rPr>
        <w:t>taken into account</w:t>
      </w:r>
      <w:proofErr w:type="gramEnd"/>
      <w:r w:rsidRPr="00CC1FCD">
        <w:rPr>
          <w:lang w:val="en-GB"/>
        </w:rPr>
        <w:t xml:space="preserve"> for row 0020 Outflow from the EU. When the payee is the one located in the EU, those transactions </w:t>
      </w:r>
      <w:r w:rsidR="00555AED">
        <w:rPr>
          <w:lang w:val="en-GB"/>
        </w:rPr>
        <w:t xml:space="preserve">are </w:t>
      </w:r>
      <w:r w:rsidRPr="00CC1FCD">
        <w:rPr>
          <w:lang w:val="en-GB"/>
        </w:rPr>
        <w:t xml:space="preserve">to be </w:t>
      </w:r>
      <w:proofErr w:type="gramStart"/>
      <w:r w:rsidRPr="00CC1FCD">
        <w:rPr>
          <w:lang w:val="en-GB"/>
        </w:rPr>
        <w:t>taken into account</w:t>
      </w:r>
      <w:proofErr w:type="gramEnd"/>
      <w:r w:rsidRPr="00CC1FCD">
        <w:rPr>
          <w:lang w:val="en-GB"/>
        </w:rPr>
        <w:t xml:space="preserve"> for row 0010 Inflow </w:t>
      </w:r>
      <w:r w:rsidR="00837949" w:rsidRPr="00CC1FCD">
        <w:rPr>
          <w:lang w:val="en-GB"/>
        </w:rPr>
        <w:t>to</w:t>
      </w:r>
      <w:r w:rsidRPr="00CC1FCD">
        <w:rPr>
          <w:lang w:val="en-GB"/>
        </w:rPr>
        <w:t xml:space="preserve"> the EU.</w:t>
      </w:r>
    </w:p>
    <w:p w14:paraId="2AB00E7E" w14:textId="5594886D" w:rsidR="004B1BFB" w:rsidRPr="00CC1FCD" w:rsidRDefault="004B1BFB" w:rsidP="00C76F31">
      <w:pPr>
        <w:pStyle w:val="InstructionsText2"/>
        <w:numPr>
          <w:ilvl w:val="1"/>
          <w:numId w:val="15"/>
        </w:numPr>
        <w:rPr>
          <w:lang w:val="en-GB"/>
        </w:rPr>
      </w:pPr>
      <w:r w:rsidRPr="00CC1FCD">
        <w:rPr>
          <w:lang w:val="en-GB"/>
        </w:rPr>
        <w:t xml:space="preserve">For this template no single currency area breakdown </w:t>
      </w:r>
      <w:r w:rsidR="00555AED">
        <w:rPr>
          <w:lang w:val="en-GB"/>
        </w:rPr>
        <w:t xml:space="preserve">is </w:t>
      </w:r>
      <w:r w:rsidRPr="00CC1FCD">
        <w:rPr>
          <w:lang w:val="en-GB"/>
        </w:rPr>
        <w:t>required.</w:t>
      </w:r>
    </w:p>
    <w:p w14:paraId="05E31B4C" w14:textId="339472C2" w:rsidR="003C71A3" w:rsidRPr="00CC1FCD" w:rsidRDefault="003C71A3" w:rsidP="00E91F4B">
      <w:pPr>
        <w:pStyle w:val="Instructionsberschrift2"/>
        <w:numPr>
          <w:ilvl w:val="0"/>
          <w:numId w:val="13"/>
        </w:numPr>
        <w:rPr>
          <w:sz w:val="22"/>
          <w:szCs w:val="22"/>
        </w:rPr>
      </w:pPr>
      <w:bookmarkStart w:id="65" w:name="_Toc181699813"/>
      <w:bookmarkStart w:id="66" w:name="_Toc184211456"/>
      <w:r w:rsidRPr="00CC1FCD">
        <w:rPr>
          <w:sz w:val="22"/>
          <w:szCs w:val="22"/>
        </w:rPr>
        <w:t xml:space="preserve">Instructions concerning specific positions of </w:t>
      </w:r>
      <w:r w:rsidR="00555AED">
        <w:rPr>
          <w:sz w:val="22"/>
          <w:szCs w:val="22"/>
        </w:rPr>
        <w:t>t</w:t>
      </w:r>
      <w:r w:rsidRPr="00CC1FCD">
        <w:rPr>
          <w:sz w:val="22"/>
          <w:szCs w:val="22"/>
        </w:rPr>
        <w:t xml:space="preserve">emplate </w:t>
      </w:r>
      <w:r w:rsidR="006E23CE" w:rsidRPr="00CC1FCD">
        <w:rPr>
          <w:sz w:val="22"/>
          <w:szCs w:val="22"/>
        </w:rPr>
        <w:t>S 10.03</w:t>
      </w:r>
      <w:bookmarkEnd w:id="65"/>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C71A3" w:rsidRPr="00CC1FCD" w14:paraId="18CE015D" w14:textId="77777777" w:rsidTr="00CC1FCD">
        <w:tc>
          <w:tcPr>
            <w:tcW w:w="1129" w:type="dxa"/>
            <w:shd w:val="clear" w:color="auto" w:fill="D9D9D9" w:themeFill="background1" w:themeFillShade="D9"/>
          </w:tcPr>
          <w:p w14:paraId="749AE290" w14:textId="77777777" w:rsidR="003C71A3" w:rsidRPr="00CC1FCD" w:rsidRDefault="003C71A3" w:rsidP="00C76F31">
            <w:pPr>
              <w:pStyle w:val="InstructionsText"/>
              <w:rPr>
                <w:rStyle w:val="InstructionsTabelleText"/>
                <w:rFonts w:ascii="Times New Roman" w:hAnsi="Times New Roman"/>
                <w:sz w:val="22"/>
                <w:lang w:val="en-GB" w:eastAsia="en-US"/>
              </w:rPr>
            </w:pPr>
            <w:r w:rsidRPr="00CC1FCD">
              <w:rPr>
                <w:rStyle w:val="InstructionsTabelleText"/>
                <w:rFonts w:ascii="Times New Roman" w:hAnsi="Times New Roman"/>
                <w:sz w:val="22"/>
                <w:lang w:val="en-GB"/>
              </w:rPr>
              <w:t>Row</w:t>
            </w:r>
          </w:p>
        </w:tc>
        <w:tc>
          <w:tcPr>
            <w:tcW w:w="7620" w:type="dxa"/>
            <w:shd w:val="clear" w:color="auto" w:fill="D9D9D9" w:themeFill="background1" w:themeFillShade="D9"/>
          </w:tcPr>
          <w:p w14:paraId="74F291BD" w14:textId="77777777" w:rsidR="003C71A3" w:rsidRPr="00CC1FCD" w:rsidRDefault="003C71A3"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Legal references and instructions</w:t>
            </w:r>
          </w:p>
        </w:tc>
      </w:tr>
      <w:tr w:rsidR="003C71A3" w:rsidRPr="00CC1FCD" w14:paraId="6C7140B4" w14:textId="77777777" w:rsidTr="00CC1FCD">
        <w:tc>
          <w:tcPr>
            <w:tcW w:w="1129" w:type="dxa"/>
          </w:tcPr>
          <w:p w14:paraId="32171072" w14:textId="77777777" w:rsidR="003C71A3" w:rsidRPr="00CC1FCD" w:rsidRDefault="003C71A3"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t>0010</w:t>
            </w:r>
          </w:p>
        </w:tc>
        <w:tc>
          <w:tcPr>
            <w:tcW w:w="7620" w:type="dxa"/>
          </w:tcPr>
          <w:p w14:paraId="39DEC014" w14:textId="5784B941" w:rsidR="003C71A3" w:rsidRPr="00CC1FCD" w:rsidRDefault="00204A2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Inflow to the EU</w:t>
            </w:r>
          </w:p>
          <w:p w14:paraId="317B90DD" w14:textId="6E40A705" w:rsidR="003C71A3" w:rsidRPr="00CC1FCD" w:rsidRDefault="00204A23" w:rsidP="00C76F31">
            <w:pPr>
              <w:pStyle w:val="InstructionsText"/>
              <w:rPr>
                <w:rStyle w:val="FormatvorlageInstructionsTabelleText"/>
                <w:rFonts w:ascii="Times New Roman" w:hAnsi="Times New Roman"/>
                <w:bCs/>
                <w:sz w:val="22"/>
                <w:lang w:val="en-GB"/>
              </w:rPr>
            </w:pPr>
            <w:r w:rsidRPr="00CC1FCD">
              <w:rPr>
                <w:rStyle w:val="InstructionsTabelleberschrift"/>
                <w:rFonts w:ascii="Times New Roman" w:hAnsi="Times New Roman"/>
                <w:b w:val="0"/>
                <w:bCs/>
                <w:sz w:val="22"/>
                <w:u w:val="none"/>
                <w:lang w:val="en-GB"/>
              </w:rPr>
              <w:t>Those transactions where</w:t>
            </w:r>
            <w:r w:rsidRPr="00CC1FCD">
              <w:rPr>
                <w:rStyle w:val="InstructionsTabelleberschrift"/>
                <w:rFonts w:ascii="Times New Roman" w:hAnsi="Times New Roman"/>
                <w:sz w:val="22"/>
                <w:u w:val="none"/>
                <w:lang w:val="en-GB"/>
              </w:rPr>
              <w:t xml:space="preserve"> </w:t>
            </w:r>
            <w:r w:rsidRPr="00CC1FCD">
              <w:rPr>
                <w:lang w:val="en-GB"/>
              </w:rPr>
              <w:t xml:space="preserve">the payee of the transaction </w:t>
            </w:r>
            <w:proofErr w:type="gramStart"/>
            <w:r w:rsidRPr="00CC1FCD">
              <w:rPr>
                <w:lang w:val="en-GB"/>
              </w:rPr>
              <w:t>is located in</w:t>
            </w:r>
            <w:proofErr w:type="gramEnd"/>
            <w:r w:rsidRPr="00CC1FCD">
              <w:rPr>
                <w:lang w:val="en-GB"/>
              </w:rPr>
              <w:t xml:space="preserve"> the EU and the payer of the transaction is located outside of the EU.</w:t>
            </w:r>
          </w:p>
        </w:tc>
      </w:tr>
      <w:tr w:rsidR="003C71A3" w:rsidRPr="00CC1FCD" w14:paraId="2EE8312F" w14:textId="77777777" w:rsidTr="00CC1FCD">
        <w:tc>
          <w:tcPr>
            <w:tcW w:w="1129" w:type="dxa"/>
          </w:tcPr>
          <w:p w14:paraId="4FCC3219" w14:textId="77777777" w:rsidR="003C71A3" w:rsidRPr="00CC1FCD" w:rsidRDefault="003C71A3"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t>0020</w:t>
            </w:r>
          </w:p>
        </w:tc>
        <w:tc>
          <w:tcPr>
            <w:tcW w:w="7620" w:type="dxa"/>
          </w:tcPr>
          <w:p w14:paraId="67AADAE5" w14:textId="58C26F4C" w:rsidR="003C71A3" w:rsidRPr="00CC1FCD" w:rsidRDefault="00204A2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Outflow from the EU</w:t>
            </w:r>
          </w:p>
          <w:p w14:paraId="209C8006" w14:textId="2EDAB4E2" w:rsidR="003C71A3" w:rsidRPr="00CC1FCD" w:rsidRDefault="00204A23" w:rsidP="00C76F31">
            <w:pPr>
              <w:pStyle w:val="InstructionsText"/>
              <w:rPr>
                <w:rStyle w:val="InstructionsTabelleberschrift"/>
                <w:rFonts w:ascii="Times New Roman" w:hAnsi="Times New Roman"/>
                <w:b w:val="0"/>
                <w:bCs/>
                <w:sz w:val="22"/>
                <w:u w:val="none"/>
                <w:lang w:val="en-GB" w:eastAsia="en-US"/>
              </w:rPr>
            </w:pPr>
            <w:r w:rsidRPr="00CC1FCD">
              <w:rPr>
                <w:rStyle w:val="InstructionsTabelleberschrift"/>
                <w:rFonts w:ascii="Times New Roman" w:hAnsi="Times New Roman"/>
                <w:b w:val="0"/>
                <w:bCs/>
                <w:sz w:val="22"/>
                <w:u w:val="none"/>
                <w:lang w:val="en-GB"/>
              </w:rPr>
              <w:t>Those transactions where</w:t>
            </w:r>
            <w:r w:rsidRPr="00CC1FCD">
              <w:rPr>
                <w:rStyle w:val="InstructionsTabelleberschrift"/>
                <w:rFonts w:ascii="Times New Roman" w:hAnsi="Times New Roman"/>
                <w:sz w:val="22"/>
                <w:u w:val="none"/>
                <w:lang w:val="en-GB"/>
              </w:rPr>
              <w:t xml:space="preserve"> </w:t>
            </w:r>
            <w:r w:rsidRPr="00CC1FCD">
              <w:rPr>
                <w:lang w:val="en-GB"/>
              </w:rPr>
              <w:t xml:space="preserve">the payer of the transaction </w:t>
            </w:r>
            <w:proofErr w:type="gramStart"/>
            <w:r w:rsidRPr="00CC1FCD">
              <w:rPr>
                <w:lang w:val="en-GB"/>
              </w:rPr>
              <w:t>is located in</w:t>
            </w:r>
            <w:proofErr w:type="gramEnd"/>
            <w:r w:rsidRPr="00CC1FCD">
              <w:rPr>
                <w:lang w:val="en-GB"/>
              </w:rPr>
              <w:t xml:space="preserve"> the EU and the payee of the transaction is located outside of the EU.</w:t>
            </w:r>
          </w:p>
        </w:tc>
      </w:tr>
    </w:tbl>
    <w:p w14:paraId="207F747D" w14:textId="77777777" w:rsidR="003C71A3" w:rsidRPr="00CC1FCD" w:rsidRDefault="003C71A3" w:rsidP="003C71A3">
      <w:pPr>
        <w:rPr>
          <w:rFonts w:ascii="Times New Roman" w:hAnsi="Times New Roman"/>
          <w:sz w:val="22"/>
          <w:szCs w:val="22"/>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C71A3" w:rsidRPr="00CC1FCD" w14:paraId="3199827B" w14:textId="77777777" w:rsidTr="00CC1FCD">
        <w:tc>
          <w:tcPr>
            <w:tcW w:w="1129" w:type="dxa"/>
            <w:shd w:val="clear" w:color="auto" w:fill="D9D9D9" w:themeFill="background1" w:themeFillShade="D9"/>
          </w:tcPr>
          <w:p w14:paraId="54A4B0C8" w14:textId="77777777" w:rsidR="003C71A3" w:rsidRPr="00CC1FCD" w:rsidRDefault="003C71A3" w:rsidP="00C76F31">
            <w:pPr>
              <w:pStyle w:val="InstructionsText"/>
              <w:rPr>
                <w:rStyle w:val="InstructionsTabelleText"/>
                <w:rFonts w:ascii="Times New Roman" w:hAnsi="Times New Roman"/>
                <w:sz w:val="22"/>
                <w:lang w:val="en-GB" w:eastAsia="en-US"/>
              </w:rPr>
            </w:pPr>
            <w:r w:rsidRPr="00CC1FCD">
              <w:rPr>
                <w:rStyle w:val="InstructionsTabelleText"/>
                <w:rFonts w:ascii="Times New Roman" w:hAnsi="Times New Roman"/>
                <w:sz w:val="22"/>
                <w:lang w:val="en-GB"/>
              </w:rPr>
              <w:lastRenderedPageBreak/>
              <w:t>Column</w:t>
            </w:r>
          </w:p>
        </w:tc>
        <w:tc>
          <w:tcPr>
            <w:tcW w:w="7620" w:type="dxa"/>
            <w:shd w:val="clear" w:color="auto" w:fill="D9D9D9" w:themeFill="background1" w:themeFillShade="D9"/>
          </w:tcPr>
          <w:p w14:paraId="4D1ECC89" w14:textId="77777777" w:rsidR="003C71A3" w:rsidRPr="00CC1FCD" w:rsidRDefault="003C71A3" w:rsidP="00C76F31">
            <w:pPr>
              <w:pStyle w:val="InstructionsText"/>
              <w:rPr>
                <w:rStyle w:val="InstructionsTabelleText"/>
                <w:rFonts w:ascii="Times New Roman" w:hAnsi="Times New Roman"/>
                <w:bCs w:val="0"/>
                <w:sz w:val="22"/>
                <w:lang w:val="en-GB" w:eastAsia="en-US"/>
              </w:rPr>
            </w:pPr>
            <w:r w:rsidRPr="00CC1FCD">
              <w:rPr>
                <w:rStyle w:val="InstructionsTabelleText"/>
                <w:rFonts w:ascii="Times New Roman" w:hAnsi="Times New Roman"/>
                <w:sz w:val="22"/>
                <w:lang w:val="en-GB"/>
              </w:rPr>
              <w:t>Legal references and instructions</w:t>
            </w:r>
          </w:p>
        </w:tc>
      </w:tr>
      <w:tr w:rsidR="003C71A3" w:rsidRPr="00CC1FCD" w14:paraId="30844E0B" w14:textId="77777777" w:rsidTr="00CC1FCD">
        <w:tc>
          <w:tcPr>
            <w:tcW w:w="1129" w:type="dxa"/>
          </w:tcPr>
          <w:p w14:paraId="692F72EF" w14:textId="77777777" w:rsidR="003C71A3" w:rsidRPr="00CC1FCD" w:rsidRDefault="003C71A3"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t>0010</w:t>
            </w:r>
          </w:p>
        </w:tc>
        <w:tc>
          <w:tcPr>
            <w:tcW w:w="7620" w:type="dxa"/>
          </w:tcPr>
          <w:p w14:paraId="5C593B40" w14:textId="77777777" w:rsidR="003C71A3" w:rsidRPr="00CC1FCD" w:rsidRDefault="003C71A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Number</w:t>
            </w:r>
          </w:p>
          <w:p w14:paraId="6642ECD3" w14:textId="11CFE402" w:rsidR="003C71A3" w:rsidRPr="00CC1FCD" w:rsidRDefault="003C71A3" w:rsidP="00C76F31">
            <w:pPr>
              <w:pStyle w:val="InstructionsText"/>
              <w:rPr>
                <w:rStyle w:val="FormatvorlageInstructionsTabelleText"/>
                <w:rFonts w:ascii="Times New Roman" w:hAnsi="Times New Roman"/>
                <w:sz w:val="22"/>
                <w:lang w:val="en-GB"/>
              </w:rPr>
            </w:pPr>
            <w:r w:rsidRPr="00CC1FCD">
              <w:rPr>
                <w:rStyle w:val="FormatvorlageInstructionsTabelleText"/>
                <w:rFonts w:ascii="Times New Roman" w:hAnsi="Times New Roman"/>
                <w:sz w:val="22"/>
                <w:lang w:val="en-GB"/>
              </w:rPr>
              <w:t>The average number of transactions per day, calculated as the total number of transactions in scope in the reporting period and divide</w:t>
            </w:r>
            <w:r w:rsidR="00555AED">
              <w:rPr>
                <w:rStyle w:val="FormatvorlageInstructionsTabelleText"/>
                <w:rFonts w:ascii="Times New Roman" w:hAnsi="Times New Roman"/>
                <w:sz w:val="22"/>
                <w:lang w:val="en-GB"/>
              </w:rPr>
              <w:t>d by</w:t>
            </w:r>
            <w:r w:rsidRPr="00CC1FCD">
              <w:rPr>
                <w:rStyle w:val="FormatvorlageInstructionsTabelleText"/>
                <w:rFonts w:ascii="Times New Roman" w:hAnsi="Times New Roman"/>
                <w:sz w:val="22"/>
                <w:lang w:val="en-GB"/>
              </w:rPr>
              <w:t xml:space="preserve"> the number of calendar days in the reporting period</w:t>
            </w:r>
            <w:r w:rsidRPr="00CC1FCD">
              <w:rPr>
                <w:lang w:val="en-GB"/>
              </w:rPr>
              <w:t>.</w:t>
            </w:r>
          </w:p>
        </w:tc>
      </w:tr>
      <w:tr w:rsidR="003C71A3" w:rsidRPr="00CC1FCD" w14:paraId="6060BC64" w14:textId="77777777" w:rsidTr="00CC1FCD">
        <w:tc>
          <w:tcPr>
            <w:tcW w:w="1129" w:type="dxa"/>
          </w:tcPr>
          <w:p w14:paraId="5EB2CB58" w14:textId="77777777" w:rsidR="003C71A3" w:rsidRPr="00CC1FCD" w:rsidRDefault="003C71A3" w:rsidP="00C76F31">
            <w:pPr>
              <w:pStyle w:val="InstructionsText"/>
              <w:rPr>
                <w:rStyle w:val="FormatvorlageInstructionsTabelleText"/>
                <w:rFonts w:ascii="Times New Roman" w:hAnsi="Times New Roman"/>
                <w:sz w:val="22"/>
                <w:lang w:val="en-GB" w:eastAsia="en-US"/>
              </w:rPr>
            </w:pPr>
            <w:r w:rsidRPr="00CC1FCD">
              <w:rPr>
                <w:rStyle w:val="FormatvorlageInstructionsTabelleText"/>
                <w:rFonts w:ascii="Times New Roman" w:hAnsi="Times New Roman"/>
                <w:sz w:val="22"/>
                <w:lang w:val="en-GB"/>
              </w:rPr>
              <w:t>0020</w:t>
            </w:r>
          </w:p>
        </w:tc>
        <w:tc>
          <w:tcPr>
            <w:tcW w:w="7620" w:type="dxa"/>
          </w:tcPr>
          <w:p w14:paraId="0C2FD686" w14:textId="77777777" w:rsidR="003C71A3" w:rsidRPr="00CC1FCD" w:rsidRDefault="003C71A3" w:rsidP="00C76F31">
            <w:pPr>
              <w:pStyle w:val="InstructionsText"/>
              <w:rPr>
                <w:rStyle w:val="InstructionsTabelleberschrift"/>
                <w:rFonts w:ascii="Times New Roman" w:hAnsi="Times New Roman"/>
                <w:sz w:val="22"/>
                <w:lang w:val="en-GB"/>
              </w:rPr>
            </w:pPr>
            <w:r w:rsidRPr="00CC1FCD">
              <w:rPr>
                <w:rStyle w:val="InstructionsTabelleberschrift"/>
                <w:rFonts w:ascii="Times New Roman" w:hAnsi="Times New Roman"/>
                <w:sz w:val="22"/>
                <w:lang w:val="en-GB"/>
              </w:rPr>
              <w:t>Amount</w:t>
            </w:r>
          </w:p>
          <w:p w14:paraId="22458735" w14:textId="73190101" w:rsidR="003C71A3" w:rsidRPr="00CC1FCD" w:rsidRDefault="003C71A3" w:rsidP="00C76F31">
            <w:pPr>
              <w:pStyle w:val="InstructionsText"/>
              <w:rPr>
                <w:rStyle w:val="InstructionsTabelleberschrift"/>
                <w:rFonts w:ascii="Times New Roman" w:hAnsi="Times New Roman"/>
                <w:b w:val="0"/>
                <w:bCs/>
                <w:sz w:val="22"/>
                <w:u w:val="none"/>
                <w:lang w:val="en-GB" w:eastAsia="en-US"/>
              </w:rPr>
            </w:pPr>
            <w:r w:rsidRPr="00CC1FCD">
              <w:rPr>
                <w:rStyle w:val="FormatvorlageInstructionsTabelleText"/>
                <w:rFonts w:ascii="Times New Roman" w:hAnsi="Times New Roman"/>
                <w:sz w:val="22"/>
                <w:lang w:val="en-GB"/>
              </w:rPr>
              <w:t>The average aggregate value of transactions per day, calculated as the sum of the values of all transactions in scope in the reporting period and divide</w:t>
            </w:r>
            <w:r w:rsidR="00555AED">
              <w:rPr>
                <w:rStyle w:val="FormatvorlageInstructionsTabelleText"/>
                <w:rFonts w:ascii="Times New Roman" w:hAnsi="Times New Roman"/>
                <w:sz w:val="22"/>
                <w:lang w:val="en-GB"/>
              </w:rPr>
              <w:t>d by</w:t>
            </w:r>
            <w:r w:rsidRPr="00CC1FCD">
              <w:rPr>
                <w:rStyle w:val="FormatvorlageInstructionsTabelleText"/>
                <w:rFonts w:ascii="Times New Roman" w:hAnsi="Times New Roman"/>
                <w:sz w:val="22"/>
                <w:lang w:val="en-GB"/>
              </w:rPr>
              <w:t xml:space="preserve"> the number of calendar days in the reporting period.</w:t>
            </w:r>
          </w:p>
        </w:tc>
      </w:tr>
    </w:tbl>
    <w:p w14:paraId="7803769A" w14:textId="77777777" w:rsidR="009D3382" w:rsidRPr="00CC1FCD" w:rsidRDefault="009D3382" w:rsidP="00713BE8">
      <w:pPr>
        <w:rPr>
          <w:rFonts w:ascii="Times New Roman" w:hAnsi="Times New Roman"/>
          <w:sz w:val="22"/>
          <w:szCs w:val="22"/>
        </w:rPr>
      </w:pPr>
    </w:p>
    <w:sectPr w:rsidR="009D3382" w:rsidRPr="00CC1FCD">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313FE" w14:textId="77777777" w:rsidR="006B52EB" w:rsidRDefault="006B52EB" w:rsidP="00353189">
      <w:pPr>
        <w:spacing w:before="0" w:after="0"/>
      </w:pPr>
      <w:r>
        <w:separator/>
      </w:r>
    </w:p>
  </w:endnote>
  <w:endnote w:type="continuationSeparator" w:id="0">
    <w:p w14:paraId="1D2797C9" w14:textId="77777777" w:rsidR="006B52EB" w:rsidRDefault="006B52EB" w:rsidP="00353189">
      <w:pPr>
        <w:spacing w:before="0" w:after="0"/>
      </w:pPr>
      <w:r>
        <w:continuationSeparator/>
      </w:r>
    </w:p>
  </w:endnote>
  <w:endnote w:type="continuationNotice" w:id="1">
    <w:p w14:paraId="1BC11A71" w14:textId="77777777" w:rsidR="006B52EB" w:rsidRDefault="006B52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Sendnya">
    <w:panose1 w:val="00000400000000000000"/>
    <w:charset w:val="01"/>
    <w:family w:val="roman"/>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761B" w14:textId="77777777" w:rsidR="00CC1FCD" w:rsidRDefault="00CC1FCD">
    <w:pPr>
      <w:pStyle w:val="Footer"/>
    </w:pPr>
  </w:p>
  <w:p w14:paraId="0ABFD629" w14:textId="77777777" w:rsidR="00CC1FCD" w:rsidRDefault="00CC1FCD"/>
  <w:p w14:paraId="7C87892E" w14:textId="77777777" w:rsidR="00CC1FCD" w:rsidRDefault="00CC1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5F3DB" w14:textId="77777777" w:rsidR="00CC1FCD" w:rsidRPr="00ED1956" w:rsidRDefault="00CC1FCD">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3</w:t>
    </w:r>
    <w:r w:rsidRPr="00ED1956">
      <w:rPr>
        <w:rFonts w:ascii="Times New Roman" w:hAnsi="Times New Roman"/>
        <w:color w:val="2B579A"/>
        <w:sz w:val="22"/>
        <w:szCs w:val="22"/>
        <w:shd w:val="clear" w:color="auto" w:fill="E6E6E6"/>
      </w:rPr>
      <w:fldChar w:fldCharType="end"/>
    </w:r>
  </w:p>
  <w:p w14:paraId="5228FF96" w14:textId="77777777" w:rsidR="00CC1FCD" w:rsidRDefault="00CC1FCD">
    <w:pPr>
      <w:pStyle w:val="Footer"/>
    </w:pPr>
  </w:p>
  <w:p w14:paraId="09E1EE0B" w14:textId="77777777" w:rsidR="00CC1FCD" w:rsidRDefault="00CC1FCD"/>
  <w:p w14:paraId="3B75D996" w14:textId="77777777" w:rsidR="00CC1FCD" w:rsidRDefault="00CC1F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726A2" w14:textId="77777777" w:rsidR="00CC1FCD" w:rsidRPr="00E85358" w:rsidRDefault="00CC1FCD">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sidR="00F475A2">
      <w:rPr>
        <w:noProof/>
        <w:sz w:val="22"/>
        <w:szCs w:val="22"/>
      </w:rPr>
      <w:t>1</w:t>
    </w:r>
    <w:r w:rsidRPr="00E85358">
      <w:rPr>
        <w:noProof/>
        <w:color w:val="2B579A"/>
        <w:sz w:val="22"/>
        <w:szCs w:val="22"/>
        <w:shd w:val="clear" w:color="auto" w:fill="E6E6E6"/>
      </w:rPr>
      <w:fldChar w:fldCharType="end"/>
    </w:r>
  </w:p>
  <w:p w14:paraId="15F1FDAE" w14:textId="77777777" w:rsidR="00CC1FCD" w:rsidRDefault="00CC1FCD">
    <w:pPr>
      <w:pStyle w:val="Footer"/>
    </w:pPr>
  </w:p>
  <w:p w14:paraId="7F9DB41B" w14:textId="77777777" w:rsidR="00CC1FCD" w:rsidRDefault="00CC1FCD"/>
  <w:p w14:paraId="60135CFA" w14:textId="77777777" w:rsidR="00CC1FCD" w:rsidRDefault="00CC1F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77DD3" w14:textId="77777777" w:rsidR="00CC1FCD" w:rsidRDefault="00CC1FCD">
    <w:pPr>
      <w:pStyle w:val="Footer"/>
    </w:pPr>
  </w:p>
  <w:p w14:paraId="3AA2D2CE" w14:textId="77777777" w:rsidR="00CC1FCD" w:rsidRDefault="00CC1FCD"/>
  <w:p w14:paraId="137E09CC" w14:textId="77777777" w:rsidR="00CC1FCD" w:rsidRDefault="00CC1FC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2AB51" w14:textId="58F91AF0" w:rsidR="00CC1FCD" w:rsidRPr="00ED1956" w:rsidRDefault="00CC1FCD">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sidR="00F475A2">
      <w:rPr>
        <w:rFonts w:ascii="Times New Roman" w:hAnsi="Times New Roman"/>
        <w:noProof/>
        <w:sz w:val="22"/>
        <w:szCs w:val="22"/>
      </w:rPr>
      <w:t>3</w:t>
    </w:r>
    <w:r w:rsidRPr="00ED1956">
      <w:rPr>
        <w:rFonts w:ascii="Times New Roman" w:hAnsi="Times New Roman"/>
        <w:color w:val="2B579A"/>
        <w:sz w:val="22"/>
        <w:szCs w:val="22"/>
        <w:shd w:val="clear" w:color="auto" w:fill="E6E6E6"/>
      </w:rPr>
      <w:fldChar w:fldCharType="end"/>
    </w:r>
  </w:p>
  <w:p w14:paraId="33A3343E" w14:textId="77777777" w:rsidR="00CC1FCD" w:rsidRDefault="00CC1FCD">
    <w:pPr>
      <w:pStyle w:val="Footer"/>
    </w:pPr>
  </w:p>
  <w:p w14:paraId="17180512" w14:textId="77777777" w:rsidR="00CC1FCD" w:rsidRDefault="00CC1FCD"/>
  <w:p w14:paraId="0F872F27" w14:textId="77777777" w:rsidR="00CC1FCD" w:rsidRDefault="00CC1FC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21D92" w14:textId="540A0E02" w:rsidR="00CC1FCD" w:rsidRPr="00E85358" w:rsidRDefault="00CC1FCD">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68156272" w14:textId="77777777" w:rsidR="00CC1FCD" w:rsidRDefault="00CC1FCD">
    <w:pPr>
      <w:pStyle w:val="Footer"/>
    </w:pPr>
  </w:p>
  <w:p w14:paraId="176EABB9" w14:textId="77777777" w:rsidR="00CC1FCD" w:rsidRDefault="00CC1FCD"/>
  <w:p w14:paraId="0BBE98CC" w14:textId="77777777" w:rsidR="00CC1FCD" w:rsidRDefault="00CC1F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0D50B" w14:textId="77777777" w:rsidR="006B52EB" w:rsidRDefault="006B52EB" w:rsidP="00353189">
      <w:pPr>
        <w:spacing w:before="0" w:after="0"/>
      </w:pPr>
      <w:r>
        <w:separator/>
      </w:r>
    </w:p>
  </w:footnote>
  <w:footnote w:type="continuationSeparator" w:id="0">
    <w:p w14:paraId="26DC2358" w14:textId="77777777" w:rsidR="006B52EB" w:rsidRDefault="006B52EB" w:rsidP="00353189">
      <w:pPr>
        <w:spacing w:before="0" w:after="0"/>
      </w:pPr>
      <w:r>
        <w:continuationSeparator/>
      </w:r>
    </w:p>
  </w:footnote>
  <w:footnote w:type="continuationNotice" w:id="1">
    <w:p w14:paraId="72E58210" w14:textId="77777777" w:rsidR="006B52EB" w:rsidRDefault="006B52EB">
      <w:pPr>
        <w:spacing w:before="0" w:after="0"/>
      </w:pPr>
    </w:p>
  </w:footnote>
  <w:footnote w:id="2">
    <w:p w14:paraId="14E98D3D" w14:textId="67A19447" w:rsidR="00CC1FCD" w:rsidRPr="00CC1FCD" w:rsidRDefault="00CC1FCD">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Regulation (EU) 2023/1114 of the European Parliament and of the Council of 31 May 2023 on markets in crypto-</w:t>
      </w:r>
      <w:proofErr w:type="gramStart"/>
      <w:r w:rsidRPr="00CC1FCD">
        <w:rPr>
          <w:rFonts w:ascii="Times New Roman" w:hAnsi="Times New Roman"/>
          <w:sz w:val="20"/>
          <w:szCs w:val="20"/>
          <w:lang w:val="en-GB"/>
        </w:rPr>
        <w:t>assets, and</w:t>
      </w:r>
      <w:proofErr w:type="gramEnd"/>
      <w:r w:rsidRPr="00CC1FCD">
        <w:rPr>
          <w:rFonts w:ascii="Times New Roman" w:hAnsi="Times New Roman"/>
          <w:sz w:val="20"/>
          <w:szCs w:val="20"/>
          <w:lang w:val="en-GB"/>
        </w:rPr>
        <w:t xml:space="preserve"> amending Regulations (EU) No 1093/2010 and (EU) No 1095/2010 and Directives 2013/36/EU and (EU) 2019/1937 (OJ L 150, 9.6.2023, p. 40).</w:t>
      </w:r>
    </w:p>
  </w:footnote>
  <w:footnote w:id="3">
    <w:p w14:paraId="39129DB3" w14:textId="74AA31E7" w:rsidR="00CC1FCD" w:rsidRPr="00CC1FCD" w:rsidRDefault="00CC1FCD">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Regulation (EU) No 575/2013 of the European Parliament and of the Council of 26 June 2013 on prudential requirements for credit institutions and amending Regulation (EU) No 648/2012 (OJ L 176, 27</w:t>
      </w:r>
      <w:r w:rsidR="00F50FA7">
        <w:rPr>
          <w:rFonts w:ascii="Times New Roman" w:hAnsi="Times New Roman"/>
          <w:sz w:val="20"/>
          <w:szCs w:val="20"/>
          <w:lang w:val="en-GB"/>
        </w:rPr>
        <w:t>.</w:t>
      </w:r>
      <w:r w:rsidRPr="00CC1FCD">
        <w:rPr>
          <w:rFonts w:ascii="Times New Roman" w:hAnsi="Times New Roman"/>
          <w:sz w:val="20"/>
          <w:szCs w:val="20"/>
          <w:lang w:val="en-GB"/>
        </w:rPr>
        <w:t>6</w:t>
      </w:r>
      <w:r w:rsidR="00F50FA7">
        <w:rPr>
          <w:rFonts w:ascii="Times New Roman" w:hAnsi="Times New Roman"/>
          <w:sz w:val="20"/>
          <w:szCs w:val="20"/>
          <w:lang w:val="en-GB"/>
        </w:rPr>
        <w:t>.</w:t>
      </w:r>
      <w:r w:rsidRPr="00CC1FCD">
        <w:rPr>
          <w:rFonts w:ascii="Times New Roman" w:hAnsi="Times New Roman"/>
          <w:sz w:val="20"/>
          <w:szCs w:val="20"/>
          <w:lang w:val="en-GB"/>
        </w:rPr>
        <w:t>2013, p. 1–337).</w:t>
      </w:r>
    </w:p>
  </w:footnote>
  <w:footnote w:id="4">
    <w:p w14:paraId="4A3E8409" w14:textId="5CC768C3" w:rsidR="00CC1FCD" w:rsidRPr="00CC1FCD" w:rsidRDefault="00CC1FCD">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 xml:space="preserve">Commission Delegated Regulation (EU) 2015/61 of 10 October 2014 to supplement Regulation (EU) No 575/2013 of the European Parliament and the Council </w:t>
      </w:r>
      <w:proofErr w:type="gramStart"/>
      <w:r w:rsidRPr="00CC1FCD">
        <w:rPr>
          <w:rFonts w:ascii="Times New Roman" w:hAnsi="Times New Roman"/>
          <w:sz w:val="20"/>
          <w:szCs w:val="20"/>
          <w:lang w:val="en-GB"/>
        </w:rPr>
        <w:t>with regard to</w:t>
      </w:r>
      <w:proofErr w:type="gramEnd"/>
      <w:r w:rsidRPr="00CC1FCD">
        <w:rPr>
          <w:rFonts w:ascii="Times New Roman" w:hAnsi="Times New Roman"/>
          <w:sz w:val="20"/>
          <w:szCs w:val="20"/>
          <w:lang w:val="en-GB"/>
        </w:rPr>
        <w:t xml:space="preserve"> liquidity coverage requirement for Credit Institutions (OJ L 11, 17</w:t>
      </w:r>
      <w:r w:rsidR="00035755">
        <w:rPr>
          <w:rFonts w:ascii="Times New Roman" w:hAnsi="Times New Roman"/>
          <w:sz w:val="20"/>
          <w:szCs w:val="20"/>
          <w:lang w:val="en-GB"/>
        </w:rPr>
        <w:t>.</w:t>
      </w:r>
      <w:r w:rsidRPr="00CC1FCD">
        <w:rPr>
          <w:rFonts w:ascii="Times New Roman" w:hAnsi="Times New Roman"/>
          <w:sz w:val="20"/>
          <w:szCs w:val="20"/>
          <w:lang w:val="en-GB"/>
        </w:rPr>
        <w:t>1</w:t>
      </w:r>
      <w:r w:rsidR="00035755">
        <w:rPr>
          <w:rFonts w:ascii="Times New Roman" w:hAnsi="Times New Roman"/>
          <w:sz w:val="20"/>
          <w:szCs w:val="20"/>
          <w:lang w:val="en-GB"/>
        </w:rPr>
        <w:t>.</w:t>
      </w:r>
      <w:r w:rsidRPr="00CC1FCD">
        <w:rPr>
          <w:rFonts w:ascii="Times New Roman" w:hAnsi="Times New Roman"/>
          <w:sz w:val="20"/>
          <w:szCs w:val="20"/>
          <w:lang w:val="en-GB"/>
        </w:rPr>
        <w:t>2015, p. 1–36).</w:t>
      </w:r>
    </w:p>
  </w:footnote>
  <w:footnote w:id="5">
    <w:p w14:paraId="1CF3FD72" w14:textId="00BF0C24" w:rsidR="00CC1FCD" w:rsidRPr="00CC1FCD" w:rsidRDefault="00CC1FCD" w:rsidP="004E670D">
      <w:pPr>
        <w:pStyle w:val="FootnoteText"/>
        <w:rPr>
          <w:rFonts w:ascii="Times New Roman" w:hAnsi="Times New Roman"/>
          <w:sz w:val="20"/>
          <w:szCs w:val="20"/>
          <w:lang w:val="en-GB"/>
        </w:rPr>
      </w:pPr>
      <w:r w:rsidRPr="00CC1FCD">
        <w:rPr>
          <w:rStyle w:val="FootnoteReference"/>
          <w:rFonts w:ascii="Times New Roman" w:hAnsi="Times New Roman"/>
          <w:sz w:val="18"/>
          <w:szCs w:val="18"/>
          <w:lang w:val="en-GB"/>
        </w:rPr>
        <w:footnoteRef/>
      </w:r>
      <w:r w:rsidRPr="00CC1FCD">
        <w:rPr>
          <w:rFonts w:ascii="Times New Roman" w:hAnsi="Times New Roman"/>
          <w:sz w:val="18"/>
          <w:szCs w:val="18"/>
          <w:lang w:val="en-GB"/>
        </w:rPr>
        <w:t xml:space="preserve"> </w:t>
      </w:r>
      <w:r w:rsidRPr="00CC1FCD">
        <w:rPr>
          <w:rFonts w:ascii="Times New Roman" w:hAnsi="Times New Roman"/>
          <w:sz w:val="20"/>
          <w:szCs w:val="20"/>
          <w:lang w:val="en-GB"/>
        </w:rPr>
        <w:t>Regulation (EU) No 600/2014 of the European Parliament and of the Council of 15 May 2014 on markets in financial instruments and amending Regulation (EU) No 648/2012 (OJ L 173, 12.6.2014).</w:t>
      </w:r>
    </w:p>
  </w:footnote>
  <w:footnote w:id="6">
    <w:p w14:paraId="2D1FFB49" w14:textId="15E241B9" w:rsidR="00CC1FCD" w:rsidRPr="00CC1FCD" w:rsidRDefault="00CC1FCD" w:rsidP="00D26A1F">
      <w:pPr>
        <w:pStyle w:val="FootnoteText"/>
        <w:spacing w:before="240"/>
        <w:rPr>
          <w:rFonts w:ascii="Times New Roman" w:hAnsi="Times New Roman"/>
          <w:sz w:val="20"/>
          <w:szCs w:val="20"/>
          <w:lang w:val="en-GB"/>
        </w:rPr>
      </w:pPr>
      <w:r w:rsidRPr="00CC1FCD">
        <w:rPr>
          <w:rStyle w:val="FootnoteReference"/>
          <w:rFonts w:ascii="Times New Roman" w:hAnsi="Times New Roman"/>
          <w:lang w:val="en-GB"/>
        </w:rPr>
        <w:footnoteRef/>
      </w:r>
      <w:r w:rsidRPr="00CC1FCD">
        <w:rPr>
          <w:rFonts w:ascii="Times New Roman" w:hAnsi="Times New Roman"/>
          <w:sz w:val="12"/>
          <w:szCs w:val="12"/>
          <w:lang w:val="en-GB"/>
        </w:rPr>
        <w:t xml:space="preserve"> </w:t>
      </w:r>
      <w:r w:rsidRPr="00CC1FCD">
        <w:rPr>
          <w:rFonts w:ascii="Times New Roman" w:hAnsi="Times New Roman"/>
          <w:sz w:val="20"/>
          <w:szCs w:val="20"/>
          <w:lang w:val="en-GB"/>
        </w:rPr>
        <w:t>Commission Delegated Regulation (EU) 2024/1506 of 22 February 2024 supplementing Regulation (EU) 2023/1114 of the European Parliament and of the Council by specifying certain criteria for classifying asset-referenced tokens and e-money tokens as significant (</w:t>
      </w:r>
      <w:r w:rsidRPr="00CC1FCD">
        <w:rPr>
          <w:rFonts w:ascii="Times New Roman" w:eastAsia="Times New Roman" w:hAnsi="Times New Roman"/>
          <w:color w:val="333333"/>
          <w:sz w:val="20"/>
          <w:szCs w:val="20"/>
          <w:shd w:val="clear" w:color="auto" w:fill="FFFFFF"/>
          <w:lang w:val="en-GB" w:eastAsia="en-US"/>
        </w:rPr>
        <w:t>OJ L, 2024/1506, 30.5.2024)</w:t>
      </w:r>
      <w:r w:rsidR="007671AE">
        <w:rPr>
          <w:rFonts w:ascii="Times New Roman" w:eastAsia="Times New Roman" w:hAnsi="Times New Roman"/>
          <w:color w:val="333333"/>
          <w:sz w:val="20"/>
          <w:szCs w:val="20"/>
          <w:shd w:val="clear" w:color="auto" w:fill="FFFFFF"/>
          <w:lang w:val="en-GB" w:eastAsia="en-US"/>
        </w:rPr>
        <w:t>.</w:t>
      </w:r>
      <w:r w:rsidRPr="00CC1FCD">
        <w:rPr>
          <w:rFonts w:ascii="Times New Roman" w:eastAsia="Times New Roman" w:hAnsi="Times New Roman"/>
          <w:color w:val="333333"/>
          <w:sz w:val="20"/>
          <w:szCs w:val="20"/>
          <w:shd w:val="clear" w:color="auto" w:fill="FFFFFF"/>
          <w:lang w:val="en-GB" w:eastAsia="en-US"/>
        </w:rPr>
        <w:t> </w:t>
      </w:r>
    </w:p>
  </w:footnote>
  <w:footnote w:id="7">
    <w:p w14:paraId="23CDB432" w14:textId="0C66D496" w:rsidR="00CC1FCD" w:rsidRPr="00CC1FCD" w:rsidRDefault="00CC1FCD">
      <w:pPr>
        <w:pStyle w:val="FootnoteText"/>
        <w:rPr>
          <w:lang w:val="en-GB"/>
        </w:rPr>
      </w:pPr>
      <w:r w:rsidRPr="00CC1FCD">
        <w:rPr>
          <w:rStyle w:val="FootnoteReference"/>
          <w:rFonts w:ascii="Times New Roman" w:hAnsi="Times New Roman"/>
          <w:lang w:val="en-GB"/>
        </w:rPr>
        <w:footnoteRef/>
      </w:r>
      <w:r w:rsidRPr="00CC1FCD">
        <w:rPr>
          <w:rFonts w:ascii="Times New Roman" w:hAnsi="Times New Roman"/>
          <w:sz w:val="20"/>
          <w:szCs w:val="20"/>
          <w:lang w:val="en-GB"/>
        </w:rPr>
        <w:t xml:space="preserve"> </w:t>
      </w:r>
      <w:bookmarkStart w:id="55" w:name="_Hlk184138314"/>
      <w:r w:rsidRPr="00CC1FCD">
        <w:rPr>
          <w:rFonts w:ascii="Times New Roman" w:hAnsi="Times New Roman"/>
          <w:sz w:val="20"/>
          <w:szCs w:val="20"/>
          <w:lang w:val="en-GB"/>
        </w:rPr>
        <w:t xml:space="preserve">Commission Implementing Regulation (EU) 2024/2902 of 20 November 2024 laying down implementing technical standards for the application of Regulation (EU) 2023/1114 of the European Parliament and of the Council </w:t>
      </w:r>
      <w:proofErr w:type="gramStart"/>
      <w:r w:rsidRPr="00CC1FCD">
        <w:rPr>
          <w:rFonts w:ascii="Times New Roman" w:hAnsi="Times New Roman"/>
          <w:sz w:val="20"/>
          <w:szCs w:val="20"/>
          <w:lang w:val="en-GB"/>
        </w:rPr>
        <w:t>with regard to</w:t>
      </w:r>
      <w:proofErr w:type="gramEnd"/>
      <w:r w:rsidRPr="00CC1FCD">
        <w:rPr>
          <w:rFonts w:ascii="Times New Roman" w:hAnsi="Times New Roman"/>
          <w:sz w:val="20"/>
          <w:szCs w:val="20"/>
          <w:lang w:val="en-GB"/>
        </w:rPr>
        <w:t xml:space="preserve"> reporting related to asset-referenced tokens and to e-money tokens denominated in a currency that is not an official currency of a Member State (OJ L, 2024/2902, 28.11.2024).</w:t>
      </w:r>
      <w:bookmarkEnd w:id="55"/>
    </w:p>
  </w:footnote>
  <w:footnote w:id="8">
    <w:p w14:paraId="6F59B122" w14:textId="4CD8D5D6" w:rsidR="00CC1FCD" w:rsidRPr="00CC1FCD" w:rsidRDefault="00CC1FCD" w:rsidP="00FB2942">
      <w:pPr>
        <w:pStyle w:val="FootnoteText"/>
        <w:rPr>
          <w:b/>
          <w:bCs/>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Regulation (EU) 2022/1925 of the European Parliament and of the Council of 14 September 2022 on contestable and fair markets in the digital sector and amending Directives (EU) 2019/1937 and (EU) 2020/1828 (Digital Markets Act) (OJ L 265, 12.10.2022, p. 1–66).</w:t>
      </w:r>
    </w:p>
    <w:p w14:paraId="7A55002A" w14:textId="5EED5764" w:rsidR="00CC1FCD" w:rsidRPr="00CC1FCD" w:rsidRDefault="00CC1FCD">
      <w:pPr>
        <w:pStyle w:val="FootnoteText"/>
        <w:rPr>
          <w:lang w:val="en-GB"/>
        </w:rPr>
      </w:pPr>
    </w:p>
  </w:footnote>
  <w:footnote w:id="9">
    <w:p w14:paraId="3E022EB0" w14:textId="621AA3DF" w:rsidR="00CC1FCD" w:rsidRPr="00CC1FCD" w:rsidRDefault="00CC1FCD">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Directive 2004/109/EC of the European Parliament and of the Council of 15 December 2004 on the harmonisation of transparency requirements in relation to information about issuers whose securities are admitted to trading on a regulated market and amending Directive 2001/34/EC (OJ L 390, 31</w:t>
      </w:r>
      <w:r w:rsidR="00E95CC9">
        <w:rPr>
          <w:rFonts w:ascii="Times New Roman" w:hAnsi="Times New Roman"/>
          <w:sz w:val="20"/>
          <w:szCs w:val="20"/>
          <w:lang w:val="en-GB"/>
        </w:rPr>
        <w:t>.</w:t>
      </w:r>
      <w:r w:rsidRPr="00CC1FCD">
        <w:rPr>
          <w:rFonts w:ascii="Times New Roman" w:hAnsi="Times New Roman"/>
          <w:sz w:val="20"/>
          <w:szCs w:val="20"/>
          <w:lang w:val="en-GB"/>
        </w:rPr>
        <w:t>12</w:t>
      </w:r>
      <w:r w:rsidR="00E95CC9">
        <w:rPr>
          <w:rFonts w:ascii="Times New Roman" w:hAnsi="Times New Roman"/>
          <w:sz w:val="20"/>
          <w:szCs w:val="20"/>
          <w:lang w:val="en-GB"/>
        </w:rPr>
        <w:t>.</w:t>
      </w:r>
      <w:r w:rsidRPr="00CC1FCD">
        <w:rPr>
          <w:rFonts w:ascii="Times New Roman" w:hAnsi="Times New Roman"/>
          <w:sz w:val="20"/>
          <w:szCs w:val="20"/>
          <w:lang w:val="en-GB"/>
        </w:rPr>
        <w:t>2004, p. 38–57).</w:t>
      </w:r>
    </w:p>
  </w:footnote>
  <w:footnote w:id="10">
    <w:p w14:paraId="45A2CEF8" w14:textId="0B488400" w:rsidR="00CC1FCD" w:rsidRPr="00CC1FCD" w:rsidRDefault="00CC1FCD" w:rsidP="005F2DC3">
      <w:pPr>
        <w:pStyle w:val="FootnoteText"/>
        <w:rPr>
          <w:lang w:val="en-GB"/>
        </w:rPr>
      </w:pPr>
      <w:r w:rsidRPr="00CC1FCD">
        <w:rPr>
          <w:rStyle w:val="FootnoteReference"/>
          <w:lang w:val="en-GB"/>
        </w:rPr>
        <w:footnoteRef/>
      </w:r>
      <w:r w:rsidRPr="00CC1FCD">
        <w:rPr>
          <w:lang w:val="en-GB"/>
        </w:rPr>
        <w:t xml:space="preserve"> </w:t>
      </w:r>
      <w:bookmarkStart w:id="60" w:name="https://eur-lex.europa.eu/legal-content/"/>
      <w:r w:rsidRPr="00CC1FCD">
        <w:rPr>
          <w:rFonts w:ascii="Times New Roman" w:hAnsi="Times New Roman"/>
          <w:sz w:val="20"/>
          <w:szCs w:val="20"/>
          <w:lang w:val="en-GB"/>
        </w:rPr>
        <w:fldChar w:fldCharType="begin"/>
      </w:r>
      <w:r w:rsidRPr="00CC1FCD">
        <w:rPr>
          <w:rFonts w:ascii="Times New Roman" w:hAnsi="Times New Roman"/>
          <w:sz w:val="20"/>
          <w:szCs w:val="20"/>
          <w:lang w:val="en-GB"/>
        </w:rPr>
        <w:instrText>HYPERLINK "https://eur-lex.europa.eu/legal-content/AUTO/?uri=CELEX:32013L0036&amp;qid=1733154311554&amp;rid=1"</w:instrText>
      </w:r>
      <w:r w:rsidRPr="00CC1FCD">
        <w:rPr>
          <w:rFonts w:ascii="Times New Roman" w:hAnsi="Times New Roman"/>
          <w:sz w:val="20"/>
          <w:szCs w:val="20"/>
          <w:lang w:val="en-GB"/>
        </w:rPr>
      </w:r>
      <w:r w:rsidRPr="00CC1FCD">
        <w:rPr>
          <w:rFonts w:ascii="Times New Roman" w:hAnsi="Times New Roman"/>
          <w:sz w:val="20"/>
          <w:szCs w:val="20"/>
          <w:lang w:val="en-GB"/>
        </w:rPr>
        <w:fldChar w:fldCharType="separate"/>
      </w:r>
      <w:r w:rsidRPr="00CC1FCD">
        <w:rPr>
          <w:rStyle w:val="Hyperlink"/>
          <w:rFonts w:ascii="Times New Roman" w:hAnsi="Times New Roman"/>
          <w:sz w:val="20"/>
          <w:szCs w:val="20"/>
          <w:lang w:val="en-GB"/>
        </w:rPr>
        <w:t xml:space="preserve">Directive 2013/36/EU of the European Parliament and of the Council of 26 June 2013 on access to the activity of credit institutions and the prudential supervision of credit institutions, amending Directive 2002/87/EC and repealing Directives 2006/48/EC and 2006/49/EC </w:t>
      </w:r>
      <w:r w:rsidRPr="00CC1FCD">
        <w:rPr>
          <w:rFonts w:ascii="Times New Roman" w:hAnsi="Times New Roman"/>
          <w:sz w:val="20"/>
          <w:szCs w:val="20"/>
          <w:lang w:val="en-GB"/>
        </w:rPr>
        <w:fldChar w:fldCharType="end"/>
      </w:r>
      <w:bookmarkEnd w:id="60"/>
      <w:r w:rsidRPr="00CC1FCD">
        <w:rPr>
          <w:rFonts w:ascii="Times New Roman" w:hAnsi="Times New Roman"/>
          <w:sz w:val="20"/>
          <w:szCs w:val="20"/>
          <w:lang w:val="en-GB"/>
        </w:rPr>
        <w:t xml:space="preserve"> (OJ L 176, 27</w:t>
      </w:r>
      <w:r w:rsidR="00E95CC9">
        <w:rPr>
          <w:rFonts w:ascii="Times New Roman" w:hAnsi="Times New Roman"/>
          <w:sz w:val="20"/>
          <w:szCs w:val="20"/>
          <w:lang w:val="en-GB"/>
        </w:rPr>
        <w:t>.</w:t>
      </w:r>
      <w:r w:rsidRPr="00CC1FCD">
        <w:rPr>
          <w:rFonts w:ascii="Times New Roman" w:hAnsi="Times New Roman"/>
          <w:sz w:val="20"/>
          <w:szCs w:val="20"/>
          <w:lang w:val="en-GB"/>
        </w:rPr>
        <w:t>6</w:t>
      </w:r>
      <w:r w:rsidR="00E95CC9">
        <w:rPr>
          <w:rFonts w:ascii="Times New Roman" w:hAnsi="Times New Roman"/>
          <w:sz w:val="20"/>
          <w:szCs w:val="20"/>
          <w:lang w:val="en-GB"/>
        </w:rPr>
        <w:t>.</w:t>
      </w:r>
      <w:r w:rsidRPr="00CC1FCD">
        <w:rPr>
          <w:rFonts w:ascii="Times New Roman" w:hAnsi="Times New Roman"/>
          <w:sz w:val="20"/>
          <w:szCs w:val="20"/>
          <w:lang w:val="en-GB"/>
        </w:rPr>
        <w:t>2013, p. 338–436).</w:t>
      </w:r>
    </w:p>
  </w:footnote>
  <w:footnote w:id="11">
    <w:p w14:paraId="57B171B4" w14:textId="79038D69" w:rsidR="00CC1FCD" w:rsidRPr="00CC1FCD" w:rsidRDefault="00CC1FCD">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Directive 2009/110/EC of the European Parliament and of the Council of 16 September 2009 on the taking up, pursuit and prudential supervision of the business of electronic money institutions amending Directives 2005/60/EC and 2006/48/EC and repealing Directive 2000/46/EC (OJ L 267, 10.10.2009).</w:t>
      </w:r>
    </w:p>
  </w:footnote>
  <w:footnote w:id="12">
    <w:p w14:paraId="370D6D8C" w14:textId="4E8F3A40" w:rsidR="00CC1FCD" w:rsidRPr="00CC1FCD" w:rsidRDefault="00CC1FCD" w:rsidP="00505FC8">
      <w:pPr>
        <w:pStyle w:val="FootnoteText"/>
        <w:rPr>
          <w:lang w:val="en-GB"/>
        </w:rPr>
      </w:pPr>
      <w:r w:rsidRPr="00CC1FCD">
        <w:rPr>
          <w:rStyle w:val="FootnoteReference"/>
          <w:lang w:val="en-GB"/>
        </w:rPr>
        <w:footnoteRef/>
      </w:r>
      <w:r w:rsidRPr="00CC1FCD">
        <w:rPr>
          <w:lang w:val="en-GB"/>
        </w:rPr>
        <w:t xml:space="preserve"> </w:t>
      </w:r>
      <w:r w:rsidRPr="00CC1FCD">
        <w:rPr>
          <w:rFonts w:ascii="Times New Roman" w:hAnsi="Times New Roman"/>
          <w:sz w:val="20"/>
          <w:szCs w:val="20"/>
          <w:lang w:val="en-GB"/>
        </w:rPr>
        <w:t>Directive (EU) 2017/1132 of the European Parliament and of the Council of 14 June 2017 relating to certain aspects of company law (OJ L 169, 30.6.2017, p.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429E9" w14:textId="094F6492" w:rsidR="00CC1FCD" w:rsidRDefault="00CC1FCD">
    <w:pPr>
      <w:pStyle w:val="Header"/>
    </w:pPr>
  </w:p>
  <w:p w14:paraId="2E28BCD1" w14:textId="77777777" w:rsidR="00CC1FCD" w:rsidRDefault="00CC1FCD"/>
  <w:p w14:paraId="6BE06A5A" w14:textId="77777777" w:rsidR="00CC1FCD" w:rsidRDefault="00CC1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E3F69" w14:textId="0741FB39" w:rsidR="00CC1FCD" w:rsidRDefault="00CC1FCD">
    <w:pPr>
      <w:pStyle w:val="Header"/>
    </w:pPr>
  </w:p>
  <w:p w14:paraId="67537E00" w14:textId="77777777" w:rsidR="00CC1FCD" w:rsidRDefault="00CC1FCD"/>
  <w:p w14:paraId="0915C48F" w14:textId="77777777" w:rsidR="00CC1FCD" w:rsidRDefault="00CC1F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99F1E" w14:textId="62EF093B" w:rsidR="00CC1FCD" w:rsidRDefault="00CC1FCD">
    <w:pPr>
      <w:pStyle w:val="Header"/>
    </w:pPr>
  </w:p>
  <w:p w14:paraId="738A1C56" w14:textId="77777777" w:rsidR="00CC1FCD" w:rsidRDefault="00CC1FCD"/>
  <w:p w14:paraId="146DF24D" w14:textId="77777777" w:rsidR="00CC1FCD" w:rsidRDefault="00CC1FCD">
    <w:pPr>
      <w:pStyle w:val="Header"/>
    </w:pPr>
  </w:p>
  <w:p w14:paraId="58F52C8B" w14:textId="77777777" w:rsidR="00CC1FCD" w:rsidRDefault="00CC1FCD"/>
  <w:p w14:paraId="50BAAFA8" w14:textId="77777777" w:rsidR="00CC1FCD" w:rsidRDefault="00CC1F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F14AB" w14:textId="2AF06212" w:rsidR="00CC1FCD" w:rsidRDefault="00CC1FCD">
    <w:pPr>
      <w:pStyle w:val="Header"/>
    </w:pPr>
  </w:p>
  <w:p w14:paraId="41C8D03E" w14:textId="77777777" w:rsidR="00CC1FCD" w:rsidRDefault="00CC1FCD"/>
  <w:p w14:paraId="4FE9B87C" w14:textId="77777777" w:rsidR="00CC1FCD" w:rsidRDefault="00CC1F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F92E2" w14:textId="0857CA16" w:rsidR="00CC1FCD" w:rsidRDefault="00CC1FCD">
    <w:pPr>
      <w:pStyle w:val="Header"/>
    </w:pPr>
  </w:p>
  <w:p w14:paraId="34B2A492" w14:textId="77777777" w:rsidR="00CC1FCD" w:rsidRDefault="00CC1FCD"/>
  <w:p w14:paraId="44603EEB" w14:textId="77777777" w:rsidR="00CC1FCD" w:rsidRDefault="00CC1F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7447F" w14:textId="799C9D9F" w:rsidR="00CC1FCD" w:rsidRDefault="00CC1FCD">
    <w:pPr>
      <w:pStyle w:val="Header"/>
    </w:pPr>
  </w:p>
  <w:p w14:paraId="74CB8963" w14:textId="77777777" w:rsidR="00CC1FCD" w:rsidRDefault="00CC1FCD"/>
  <w:p w14:paraId="3F627F38" w14:textId="77777777" w:rsidR="00CC1FCD" w:rsidRDefault="00CC1FCD">
    <w:pPr>
      <w:pStyle w:val="Header"/>
    </w:pPr>
  </w:p>
  <w:p w14:paraId="40B762AE" w14:textId="77777777" w:rsidR="00CC1FCD" w:rsidRDefault="00CC1FCD"/>
  <w:p w14:paraId="56519729" w14:textId="77777777" w:rsidR="00CC1FCD" w:rsidRDefault="00CC1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69C2248"/>
    <w:multiLevelType w:val="hybridMultilevel"/>
    <w:tmpl w:val="CE4A8738"/>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D2EC4"/>
    <w:multiLevelType w:val="hybridMultilevel"/>
    <w:tmpl w:val="1BBEA246"/>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1E9277B6"/>
    <w:multiLevelType w:val="hybridMultilevel"/>
    <w:tmpl w:val="A9FA6244"/>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2C7781"/>
    <w:multiLevelType w:val="hybridMultilevel"/>
    <w:tmpl w:val="C4464F5C"/>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44C68"/>
    <w:multiLevelType w:val="hybridMultilevel"/>
    <w:tmpl w:val="F5A2D4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5F4003"/>
    <w:multiLevelType w:val="hybridMultilevel"/>
    <w:tmpl w:val="F5A2D4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46489498"/>
    <w:lvl w:ilvl="0" w:tplc="FFFFFFFF">
      <w:start w:val="1"/>
      <w:numFmt w:val="decimal"/>
      <w:pStyle w:val="InstructionsText2"/>
      <w:lvlText w:val="%1."/>
      <w:lvlJc w:val="left"/>
      <w:pPr>
        <w:ind w:left="1353"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EAC1F90"/>
    <w:multiLevelType w:val="hybridMultilevel"/>
    <w:tmpl w:val="2BDC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BD7435"/>
    <w:multiLevelType w:val="hybridMultilevel"/>
    <w:tmpl w:val="F4143224"/>
    <w:lvl w:ilvl="0" w:tplc="5F56F3B6">
      <w:start w:val="1"/>
      <w:numFmt w:val="lowerLetter"/>
      <w:lvlText w:val="(%1)"/>
      <w:lvlJc w:val="left"/>
      <w:pPr>
        <w:ind w:left="900" w:hanging="360"/>
      </w:pPr>
      <w:rPr>
        <w:rFonts w:cs="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6D2CCCA0"/>
    <w:lvl w:ilvl="0" w:tplc="08090013">
      <w:start w:val="1"/>
      <w:numFmt w:val="upperRoman"/>
      <w:lvlText w:val="%1."/>
      <w:lvlJc w:val="right"/>
      <w:pPr>
        <w:ind w:left="720" w:hanging="360"/>
      </w:p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61744A"/>
    <w:multiLevelType w:val="hybridMultilevel"/>
    <w:tmpl w:val="F35257B4"/>
    <w:lvl w:ilvl="0" w:tplc="FFFFFFFF">
      <w:start w:val="1"/>
      <w:numFmt w:val="decimal"/>
      <w:lvlText w:val="%1."/>
      <w:lvlJc w:val="left"/>
      <w:pPr>
        <w:ind w:left="720" w:hanging="360"/>
      </w:pPr>
    </w:lvl>
    <w:lvl w:ilvl="1" w:tplc="5F56F3B6">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B37B34"/>
    <w:multiLevelType w:val="hybridMultilevel"/>
    <w:tmpl w:val="ABA0A0D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376834">
    <w:abstractNumId w:val="0"/>
  </w:num>
  <w:num w:numId="2" w16cid:durableId="1272274422">
    <w:abstractNumId w:val="21"/>
  </w:num>
  <w:num w:numId="3" w16cid:durableId="602880035">
    <w:abstractNumId w:val="28"/>
  </w:num>
  <w:num w:numId="4" w16cid:durableId="1356924305">
    <w:abstractNumId w:val="16"/>
  </w:num>
  <w:num w:numId="5" w16cid:durableId="1582987516">
    <w:abstractNumId w:val="24"/>
  </w:num>
  <w:num w:numId="6" w16cid:durableId="179782519">
    <w:abstractNumId w:val="14"/>
  </w:num>
  <w:num w:numId="7" w16cid:durableId="1813016080">
    <w:abstractNumId w:val="27"/>
  </w:num>
  <w:num w:numId="8" w16cid:durableId="1122655062">
    <w:abstractNumId w:val="4"/>
  </w:num>
  <w:num w:numId="9" w16cid:durableId="1469589125">
    <w:abstractNumId w:val="22"/>
  </w:num>
  <w:num w:numId="10" w16cid:durableId="646857654">
    <w:abstractNumId w:val="13"/>
  </w:num>
  <w:num w:numId="11" w16cid:durableId="1107652646">
    <w:abstractNumId w:val="19"/>
  </w:num>
  <w:num w:numId="12" w16cid:durableId="1947075853">
    <w:abstractNumId w:val="9"/>
  </w:num>
  <w:num w:numId="13" w16cid:durableId="293101779">
    <w:abstractNumId w:val="23"/>
  </w:num>
  <w:num w:numId="14" w16cid:durableId="1277053">
    <w:abstractNumId w:val="20"/>
  </w:num>
  <w:num w:numId="15" w16cid:durableId="227542331">
    <w:abstractNumId w:val="12"/>
  </w:num>
  <w:num w:numId="16" w16cid:durableId="1108159479">
    <w:abstractNumId w:val="17"/>
  </w:num>
  <w:num w:numId="17" w16cid:durableId="1091124815">
    <w:abstractNumId w:val="11"/>
  </w:num>
  <w:num w:numId="18" w16cid:durableId="1798643791">
    <w:abstractNumId w:val="26"/>
  </w:num>
  <w:num w:numId="19" w16cid:durableId="394133632">
    <w:abstractNumId w:val="1"/>
  </w:num>
  <w:num w:numId="20" w16cid:durableId="584800546">
    <w:abstractNumId w:val="5"/>
  </w:num>
  <w:num w:numId="21" w16cid:durableId="382100735">
    <w:abstractNumId w:val="7"/>
  </w:num>
  <w:num w:numId="22" w16cid:durableId="2004502248">
    <w:abstractNumId w:val="18"/>
  </w:num>
  <w:num w:numId="23" w16cid:durableId="1923562637">
    <w:abstractNumId w:val="3"/>
  </w:num>
  <w:num w:numId="24" w16cid:durableId="597298679">
    <w:abstractNumId w:val="29"/>
  </w:num>
  <w:num w:numId="25" w16cid:durableId="1958443853">
    <w:abstractNumId w:val="15"/>
  </w:num>
  <w:num w:numId="26" w16cid:durableId="1714233904">
    <w:abstractNumId w:val="2"/>
  </w:num>
  <w:num w:numId="27" w16cid:durableId="1139687973">
    <w:abstractNumId w:val="25"/>
  </w:num>
  <w:num w:numId="28" w16cid:durableId="1762796713">
    <w:abstractNumId w:val="12"/>
  </w:num>
  <w:num w:numId="29" w16cid:durableId="548566103">
    <w:abstractNumId w:val="12"/>
  </w:num>
  <w:num w:numId="30" w16cid:durableId="44064031">
    <w:abstractNumId w:val="12"/>
  </w:num>
  <w:num w:numId="31" w16cid:durableId="767432369">
    <w:abstractNumId w:val="12"/>
  </w:num>
  <w:num w:numId="32" w16cid:durableId="1153718911">
    <w:abstractNumId w:val="12"/>
  </w:num>
  <w:num w:numId="33" w16cid:durableId="177819982">
    <w:abstractNumId w:val="12"/>
  </w:num>
  <w:num w:numId="34" w16cid:durableId="924151764">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453636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0680082">
    <w:abstractNumId w:val="3"/>
  </w:num>
  <w:num w:numId="37" w16cid:durableId="435486752">
    <w:abstractNumId w:val="5"/>
  </w:num>
  <w:num w:numId="38" w16cid:durableId="1013535468">
    <w:abstractNumId w:val="29"/>
  </w:num>
  <w:num w:numId="39" w16cid:durableId="1798143390">
    <w:abstractNumId w:val="7"/>
  </w:num>
  <w:num w:numId="40" w16cid:durableId="1179467381">
    <w:abstractNumId w:val="12"/>
  </w:num>
  <w:num w:numId="41" w16cid:durableId="341663211">
    <w:abstractNumId w:val="12"/>
  </w:num>
  <w:num w:numId="42" w16cid:durableId="728727322">
    <w:abstractNumId w:val="12"/>
  </w:num>
  <w:num w:numId="43" w16cid:durableId="468476986">
    <w:abstractNumId w:val="12"/>
  </w:num>
  <w:num w:numId="44" w16cid:durableId="398015105">
    <w:abstractNumId w:val="10"/>
  </w:num>
  <w:num w:numId="45" w16cid:durableId="2142310344">
    <w:abstractNumId w:val="8"/>
  </w:num>
  <w:num w:numId="46" w16cid:durableId="260454269">
    <w:abstractNumId w:val="12"/>
    <w:lvlOverride w:ilvl="0">
      <w:startOverride w:val="1"/>
    </w:lvlOverride>
  </w:num>
  <w:num w:numId="47" w16cid:durableId="809594822">
    <w:abstractNumId w:val="12"/>
  </w:num>
  <w:num w:numId="48" w16cid:durableId="982779392">
    <w:abstractNumId w:val="12"/>
    <w:lvlOverride w:ilvl="0">
      <w:startOverride w:val="1"/>
    </w:lvlOverride>
  </w:num>
  <w:num w:numId="49" w16cid:durableId="6379474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6" w:nlCheck="1" w:checkStyle="1"/>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53189"/>
    <w:rsid w:val="00000564"/>
    <w:rsid w:val="00003327"/>
    <w:rsid w:val="0000789B"/>
    <w:rsid w:val="00015DBC"/>
    <w:rsid w:val="00015EA3"/>
    <w:rsid w:val="00025506"/>
    <w:rsid w:val="0002613E"/>
    <w:rsid w:val="000311D2"/>
    <w:rsid w:val="00033A41"/>
    <w:rsid w:val="00035755"/>
    <w:rsid w:val="000368EB"/>
    <w:rsid w:val="00040A4B"/>
    <w:rsid w:val="000422F9"/>
    <w:rsid w:val="00046AD9"/>
    <w:rsid w:val="000505B7"/>
    <w:rsid w:val="00056A19"/>
    <w:rsid w:val="00061824"/>
    <w:rsid w:val="00064CED"/>
    <w:rsid w:val="000708E4"/>
    <w:rsid w:val="00070B40"/>
    <w:rsid w:val="00071038"/>
    <w:rsid w:val="0007137A"/>
    <w:rsid w:val="00076C45"/>
    <w:rsid w:val="00077F13"/>
    <w:rsid w:val="000818E9"/>
    <w:rsid w:val="000821DE"/>
    <w:rsid w:val="00083B7A"/>
    <w:rsid w:val="00087C96"/>
    <w:rsid w:val="00093D4E"/>
    <w:rsid w:val="00094792"/>
    <w:rsid w:val="00096D6C"/>
    <w:rsid w:val="0009751D"/>
    <w:rsid w:val="00097EC0"/>
    <w:rsid w:val="000A1BF1"/>
    <w:rsid w:val="000A2CB7"/>
    <w:rsid w:val="000B39B0"/>
    <w:rsid w:val="000B41D4"/>
    <w:rsid w:val="000C1879"/>
    <w:rsid w:val="000C5774"/>
    <w:rsid w:val="000D0A33"/>
    <w:rsid w:val="000D0BDD"/>
    <w:rsid w:val="000D444A"/>
    <w:rsid w:val="000D7F65"/>
    <w:rsid w:val="000E0CE1"/>
    <w:rsid w:val="000E15D8"/>
    <w:rsid w:val="000E3288"/>
    <w:rsid w:val="000E4890"/>
    <w:rsid w:val="000E5BDA"/>
    <w:rsid w:val="000E6ED0"/>
    <w:rsid w:val="000E75DC"/>
    <w:rsid w:val="000F0502"/>
    <w:rsid w:val="000F2570"/>
    <w:rsid w:val="000F62A3"/>
    <w:rsid w:val="000F6375"/>
    <w:rsid w:val="000F6C2E"/>
    <w:rsid w:val="000F6EEC"/>
    <w:rsid w:val="000F7DA9"/>
    <w:rsid w:val="00100FBB"/>
    <w:rsid w:val="001056DB"/>
    <w:rsid w:val="0010579D"/>
    <w:rsid w:val="001064FA"/>
    <w:rsid w:val="00112D2A"/>
    <w:rsid w:val="001236F5"/>
    <w:rsid w:val="0012515B"/>
    <w:rsid w:val="00125C02"/>
    <w:rsid w:val="00127473"/>
    <w:rsid w:val="001303B3"/>
    <w:rsid w:val="0013779F"/>
    <w:rsid w:val="00137ED6"/>
    <w:rsid w:val="001536EE"/>
    <w:rsid w:val="00154FFC"/>
    <w:rsid w:val="00161853"/>
    <w:rsid w:val="0016311B"/>
    <w:rsid w:val="00163E6F"/>
    <w:rsid w:val="00171388"/>
    <w:rsid w:val="00176D1E"/>
    <w:rsid w:val="001825BD"/>
    <w:rsid w:val="001830A9"/>
    <w:rsid w:val="00184D4F"/>
    <w:rsid w:val="00193C76"/>
    <w:rsid w:val="00193FE0"/>
    <w:rsid w:val="00196304"/>
    <w:rsid w:val="001A7BBA"/>
    <w:rsid w:val="001B2F3B"/>
    <w:rsid w:val="001B52F7"/>
    <w:rsid w:val="001B79BD"/>
    <w:rsid w:val="001C3A00"/>
    <w:rsid w:val="001D1CB1"/>
    <w:rsid w:val="001D22FE"/>
    <w:rsid w:val="001D3497"/>
    <w:rsid w:val="001D4C68"/>
    <w:rsid w:val="001E0D55"/>
    <w:rsid w:val="001E1D7C"/>
    <w:rsid w:val="001E3E2E"/>
    <w:rsid w:val="001E45B8"/>
    <w:rsid w:val="001F38A0"/>
    <w:rsid w:val="001F3C58"/>
    <w:rsid w:val="00203ADF"/>
    <w:rsid w:val="00204A23"/>
    <w:rsid w:val="00215F6D"/>
    <w:rsid w:val="00217423"/>
    <w:rsid w:val="0022031E"/>
    <w:rsid w:val="002252E0"/>
    <w:rsid w:val="0022799D"/>
    <w:rsid w:val="00231904"/>
    <w:rsid w:val="002322B8"/>
    <w:rsid w:val="00232B80"/>
    <w:rsid w:val="002375A8"/>
    <w:rsid w:val="00240893"/>
    <w:rsid w:val="00241D13"/>
    <w:rsid w:val="00245286"/>
    <w:rsid w:val="0024633A"/>
    <w:rsid w:val="00247BBC"/>
    <w:rsid w:val="00251D29"/>
    <w:rsid w:val="00252CE6"/>
    <w:rsid w:val="00254F2A"/>
    <w:rsid w:val="002627B0"/>
    <w:rsid w:val="00265C34"/>
    <w:rsid w:val="00272760"/>
    <w:rsid w:val="00280DBA"/>
    <w:rsid w:val="0028327D"/>
    <w:rsid w:val="002832EF"/>
    <w:rsid w:val="00285ACC"/>
    <w:rsid w:val="00286753"/>
    <w:rsid w:val="0029119D"/>
    <w:rsid w:val="00295F77"/>
    <w:rsid w:val="00296B44"/>
    <w:rsid w:val="002A1CC8"/>
    <w:rsid w:val="002B07F6"/>
    <w:rsid w:val="002B20BD"/>
    <w:rsid w:val="002B44A3"/>
    <w:rsid w:val="002B55E9"/>
    <w:rsid w:val="002C0684"/>
    <w:rsid w:val="002C29A7"/>
    <w:rsid w:val="002C7035"/>
    <w:rsid w:val="002D1106"/>
    <w:rsid w:val="002D1159"/>
    <w:rsid w:val="002D4ACA"/>
    <w:rsid w:val="002D4C7D"/>
    <w:rsid w:val="002D60AD"/>
    <w:rsid w:val="002E1530"/>
    <w:rsid w:val="002E4E06"/>
    <w:rsid w:val="002F18B9"/>
    <w:rsid w:val="002F1E54"/>
    <w:rsid w:val="002F28D9"/>
    <w:rsid w:val="002F4AA9"/>
    <w:rsid w:val="003024C1"/>
    <w:rsid w:val="003031AB"/>
    <w:rsid w:val="00303FB6"/>
    <w:rsid w:val="00310DE8"/>
    <w:rsid w:val="003122B1"/>
    <w:rsid w:val="00314E50"/>
    <w:rsid w:val="003216CA"/>
    <w:rsid w:val="0033054D"/>
    <w:rsid w:val="0033119B"/>
    <w:rsid w:val="00331CB7"/>
    <w:rsid w:val="00332BA5"/>
    <w:rsid w:val="00335B5F"/>
    <w:rsid w:val="00343807"/>
    <w:rsid w:val="0034428A"/>
    <w:rsid w:val="003506DF"/>
    <w:rsid w:val="003517F8"/>
    <w:rsid w:val="00353189"/>
    <w:rsid w:val="00353F79"/>
    <w:rsid w:val="0035539E"/>
    <w:rsid w:val="00355758"/>
    <w:rsid w:val="0035675E"/>
    <w:rsid w:val="00360D15"/>
    <w:rsid w:val="0036409B"/>
    <w:rsid w:val="0036746A"/>
    <w:rsid w:val="00367AF8"/>
    <w:rsid w:val="00367C03"/>
    <w:rsid w:val="00370F4B"/>
    <w:rsid w:val="00373C15"/>
    <w:rsid w:val="003740B6"/>
    <w:rsid w:val="00376A65"/>
    <w:rsid w:val="00380E06"/>
    <w:rsid w:val="00381126"/>
    <w:rsid w:val="00382037"/>
    <w:rsid w:val="0038246C"/>
    <w:rsid w:val="00385711"/>
    <w:rsid w:val="0039038A"/>
    <w:rsid w:val="0039336D"/>
    <w:rsid w:val="003943A4"/>
    <w:rsid w:val="003955CF"/>
    <w:rsid w:val="00395C95"/>
    <w:rsid w:val="003A3C66"/>
    <w:rsid w:val="003B232A"/>
    <w:rsid w:val="003B5976"/>
    <w:rsid w:val="003B7CF7"/>
    <w:rsid w:val="003C5907"/>
    <w:rsid w:val="003C68DB"/>
    <w:rsid w:val="003C70CC"/>
    <w:rsid w:val="003C71A3"/>
    <w:rsid w:val="003D1E74"/>
    <w:rsid w:val="003D40DC"/>
    <w:rsid w:val="003D5629"/>
    <w:rsid w:val="003D69BF"/>
    <w:rsid w:val="003E3D6A"/>
    <w:rsid w:val="003E46D4"/>
    <w:rsid w:val="003F34BB"/>
    <w:rsid w:val="004011DA"/>
    <w:rsid w:val="00402D00"/>
    <w:rsid w:val="00403AB0"/>
    <w:rsid w:val="004044D4"/>
    <w:rsid w:val="00404B20"/>
    <w:rsid w:val="004112FF"/>
    <w:rsid w:val="0041142A"/>
    <w:rsid w:val="004163EA"/>
    <w:rsid w:val="004166FE"/>
    <w:rsid w:val="00416E6D"/>
    <w:rsid w:val="00416F69"/>
    <w:rsid w:val="0042154F"/>
    <w:rsid w:val="00422E0A"/>
    <w:rsid w:val="00424A6F"/>
    <w:rsid w:val="00426515"/>
    <w:rsid w:val="004276DE"/>
    <w:rsid w:val="00430DD4"/>
    <w:rsid w:val="00442920"/>
    <w:rsid w:val="00445726"/>
    <w:rsid w:val="004560C6"/>
    <w:rsid w:val="00457A39"/>
    <w:rsid w:val="00457A72"/>
    <w:rsid w:val="004609C5"/>
    <w:rsid w:val="004654DB"/>
    <w:rsid w:val="00466623"/>
    <w:rsid w:val="00466B13"/>
    <w:rsid w:val="00467D41"/>
    <w:rsid w:val="00470B12"/>
    <w:rsid w:val="004736C8"/>
    <w:rsid w:val="00473AC0"/>
    <w:rsid w:val="00474562"/>
    <w:rsid w:val="00481034"/>
    <w:rsid w:val="00482682"/>
    <w:rsid w:val="00483F57"/>
    <w:rsid w:val="00486FB5"/>
    <w:rsid w:val="00496E83"/>
    <w:rsid w:val="004A0B1C"/>
    <w:rsid w:val="004A276F"/>
    <w:rsid w:val="004B1BFB"/>
    <w:rsid w:val="004B25BF"/>
    <w:rsid w:val="004B35E3"/>
    <w:rsid w:val="004B43AA"/>
    <w:rsid w:val="004C1F99"/>
    <w:rsid w:val="004C2025"/>
    <w:rsid w:val="004C4EF0"/>
    <w:rsid w:val="004C54CF"/>
    <w:rsid w:val="004C5A35"/>
    <w:rsid w:val="004C612F"/>
    <w:rsid w:val="004C779E"/>
    <w:rsid w:val="004C78B8"/>
    <w:rsid w:val="004D017C"/>
    <w:rsid w:val="004D27E4"/>
    <w:rsid w:val="004D7511"/>
    <w:rsid w:val="004D7AC5"/>
    <w:rsid w:val="004E0DF3"/>
    <w:rsid w:val="004E5739"/>
    <w:rsid w:val="004E670D"/>
    <w:rsid w:val="004F0972"/>
    <w:rsid w:val="004F10EA"/>
    <w:rsid w:val="004F3309"/>
    <w:rsid w:val="004F7120"/>
    <w:rsid w:val="00503D84"/>
    <w:rsid w:val="00505FC8"/>
    <w:rsid w:val="005168A9"/>
    <w:rsid w:val="00531887"/>
    <w:rsid w:val="005344CD"/>
    <w:rsid w:val="00537581"/>
    <w:rsid w:val="00537D39"/>
    <w:rsid w:val="0054012C"/>
    <w:rsid w:val="00544C66"/>
    <w:rsid w:val="0055139D"/>
    <w:rsid w:val="00555AED"/>
    <w:rsid w:val="00557B3D"/>
    <w:rsid w:val="00562375"/>
    <w:rsid w:val="00567B77"/>
    <w:rsid w:val="00576488"/>
    <w:rsid w:val="005771B5"/>
    <w:rsid w:val="005827EF"/>
    <w:rsid w:val="00584C38"/>
    <w:rsid w:val="00587B23"/>
    <w:rsid w:val="005925B0"/>
    <w:rsid w:val="005928E3"/>
    <w:rsid w:val="005935F2"/>
    <w:rsid w:val="00594A5A"/>
    <w:rsid w:val="0059677D"/>
    <w:rsid w:val="0059740A"/>
    <w:rsid w:val="005A572B"/>
    <w:rsid w:val="005B1520"/>
    <w:rsid w:val="005B2D7A"/>
    <w:rsid w:val="005B330B"/>
    <w:rsid w:val="005C2F6B"/>
    <w:rsid w:val="005C6DCB"/>
    <w:rsid w:val="005C7B85"/>
    <w:rsid w:val="005D2BF8"/>
    <w:rsid w:val="005D593F"/>
    <w:rsid w:val="005D5E49"/>
    <w:rsid w:val="005D665F"/>
    <w:rsid w:val="005E64CD"/>
    <w:rsid w:val="005F19E3"/>
    <w:rsid w:val="005F2DC3"/>
    <w:rsid w:val="005F43EC"/>
    <w:rsid w:val="005F5FCD"/>
    <w:rsid w:val="0060145E"/>
    <w:rsid w:val="006018B9"/>
    <w:rsid w:val="00606BAC"/>
    <w:rsid w:val="006103A7"/>
    <w:rsid w:val="006113E7"/>
    <w:rsid w:val="00616AAA"/>
    <w:rsid w:val="006236FE"/>
    <w:rsid w:val="00624A63"/>
    <w:rsid w:val="00627C99"/>
    <w:rsid w:val="00633DB1"/>
    <w:rsid w:val="006359F9"/>
    <w:rsid w:val="006435F6"/>
    <w:rsid w:val="00643A84"/>
    <w:rsid w:val="00652AC7"/>
    <w:rsid w:val="00654BF9"/>
    <w:rsid w:val="00666BBB"/>
    <w:rsid w:val="00670DF0"/>
    <w:rsid w:val="00673729"/>
    <w:rsid w:val="00673CB9"/>
    <w:rsid w:val="006768A2"/>
    <w:rsid w:val="006814E5"/>
    <w:rsid w:val="00682773"/>
    <w:rsid w:val="00691A2F"/>
    <w:rsid w:val="00693B0D"/>
    <w:rsid w:val="006944D6"/>
    <w:rsid w:val="006973CA"/>
    <w:rsid w:val="00697B91"/>
    <w:rsid w:val="00697E67"/>
    <w:rsid w:val="006A09F6"/>
    <w:rsid w:val="006A7A85"/>
    <w:rsid w:val="006B27A3"/>
    <w:rsid w:val="006B333A"/>
    <w:rsid w:val="006B52EB"/>
    <w:rsid w:val="006B71CB"/>
    <w:rsid w:val="006B7CBF"/>
    <w:rsid w:val="006C1858"/>
    <w:rsid w:val="006C1BCE"/>
    <w:rsid w:val="006C5DEA"/>
    <w:rsid w:val="006D2CA2"/>
    <w:rsid w:val="006D7732"/>
    <w:rsid w:val="006E23CE"/>
    <w:rsid w:val="006E3358"/>
    <w:rsid w:val="006F6B29"/>
    <w:rsid w:val="0070298D"/>
    <w:rsid w:val="007044BF"/>
    <w:rsid w:val="007047B4"/>
    <w:rsid w:val="00713BE8"/>
    <w:rsid w:val="0072066A"/>
    <w:rsid w:val="00720837"/>
    <w:rsid w:val="00720BF0"/>
    <w:rsid w:val="00720CDA"/>
    <w:rsid w:val="00721D8A"/>
    <w:rsid w:val="00723E84"/>
    <w:rsid w:val="0072651F"/>
    <w:rsid w:val="00727681"/>
    <w:rsid w:val="00733CC3"/>
    <w:rsid w:val="00734395"/>
    <w:rsid w:val="00734E8E"/>
    <w:rsid w:val="00736E97"/>
    <w:rsid w:val="0073743F"/>
    <w:rsid w:val="007513AB"/>
    <w:rsid w:val="00760155"/>
    <w:rsid w:val="007671AE"/>
    <w:rsid w:val="00772C47"/>
    <w:rsid w:val="00772FE3"/>
    <w:rsid w:val="00775088"/>
    <w:rsid w:val="00777DAE"/>
    <w:rsid w:val="00785664"/>
    <w:rsid w:val="0079294B"/>
    <w:rsid w:val="00793CB1"/>
    <w:rsid w:val="00795B5C"/>
    <w:rsid w:val="00795F7F"/>
    <w:rsid w:val="007A0222"/>
    <w:rsid w:val="007A489F"/>
    <w:rsid w:val="007B20F3"/>
    <w:rsid w:val="007C61BE"/>
    <w:rsid w:val="007D0769"/>
    <w:rsid w:val="007E075B"/>
    <w:rsid w:val="007E5198"/>
    <w:rsid w:val="007F0DAB"/>
    <w:rsid w:val="007F0DC3"/>
    <w:rsid w:val="007F1031"/>
    <w:rsid w:val="007F4C8F"/>
    <w:rsid w:val="007F7A67"/>
    <w:rsid w:val="00806528"/>
    <w:rsid w:val="00806D13"/>
    <w:rsid w:val="008110BC"/>
    <w:rsid w:val="00817A06"/>
    <w:rsid w:val="0082211F"/>
    <w:rsid w:val="0082457A"/>
    <w:rsid w:val="0082627C"/>
    <w:rsid w:val="00831E69"/>
    <w:rsid w:val="00837949"/>
    <w:rsid w:val="0084568B"/>
    <w:rsid w:val="00847490"/>
    <w:rsid w:val="0085052A"/>
    <w:rsid w:val="008505C8"/>
    <w:rsid w:val="008514B7"/>
    <w:rsid w:val="0085421D"/>
    <w:rsid w:val="008543ED"/>
    <w:rsid w:val="00855685"/>
    <w:rsid w:val="00857FDC"/>
    <w:rsid w:val="00860493"/>
    <w:rsid w:val="00871A4F"/>
    <w:rsid w:val="00882049"/>
    <w:rsid w:val="00882E6E"/>
    <w:rsid w:val="00887486"/>
    <w:rsid w:val="0089134E"/>
    <w:rsid w:val="00895F5A"/>
    <w:rsid w:val="008B02EB"/>
    <w:rsid w:val="008B03EF"/>
    <w:rsid w:val="008B0B74"/>
    <w:rsid w:val="008B1C28"/>
    <w:rsid w:val="008B65F2"/>
    <w:rsid w:val="008B7406"/>
    <w:rsid w:val="008C63AE"/>
    <w:rsid w:val="008D1749"/>
    <w:rsid w:val="008D36B1"/>
    <w:rsid w:val="008D37E9"/>
    <w:rsid w:val="008D3EF3"/>
    <w:rsid w:val="008F2539"/>
    <w:rsid w:val="008F45C9"/>
    <w:rsid w:val="008F5D56"/>
    <w:rsid w:val="008F6920"/>
    <w:rsid w:val="008F7BEC"/>
    <w:rsid w:val="0090507D"/>
    <w:rsid w:val="0090547A"/>
    <w:rsid w:val="00912438"/>
    <w:rsid w:val="00912841"/>
    <w:rsid w:val="00913E51"/>
    <w:rsid w:val="00916C47"/>
    <w:rsid w:val="00921832"/>
    <w:rsid w:val="00924C5F"/>
    <w:rsid w:val="00926217"/>
    <w:rsid w:val="00926AAF"/>
    <w:rsid w:val="00934798"/>
    <w:rsid w:val="00942927"/>
    <w:rsid w:val="00951EC5"/>
    <w:rsid w:val="009549E6"/>
    <w:rsid w:val="00957C31"/>
    <w:rsid w:val="00961D42"/>
    <w:rsid w:val="009650DB"/>
    <w:rsid w:val="00965F5E"/>
    <w:rsid w:val="00971304"/>
    <w:rsid w:val="00974B58"/>
    <w:rsid w:val="00974D27"/>
    <w:rsid w:val="00974FC4"/>
    <w:rsid w:val="009765AC"/>
    <w:rsid w:val="00983D39"/>
    <w:rsid w:val="00990ED2"/>
    <w:rsid w:val="00992267"/>
    <w:rsid w:val="009942E7"/>
    <w:rsid w:val="00995222"/>
    <w:rsid w:val="0099531F"/>
    <w:rsid w:val="009A7A40"/>
    <w:rsid w:val="009B1FA5"/>
    <w:rsid w:val="009B3846"/>
    <w:rsid w:val="009C3059"/>
    <w:rsid w:val="009D3382"/>
    <w:rsid w:val="009E4090"/>
    <w:rsid w:val="009E6486"/>
    <w:rsid w:val="009E7A42"/>
    <w:rsid w:val="009F10BD"/>
    <w:rsid w:val="009F1D5D"/>
    <w:rsid w:val="009F3830"/>
    <w:rsid w:val="009F3A95"/>
    <w:rsid w:val="009F5296"/>
    <w:rsid w:val="00A029E6"/>
    <w:rsid w:val="00A061AC"/>
    <w:rsid w:val="00A139FA"/>
    <w:rsid w:val="00A15ADB"/>
    <w:rsid w:val="00A15C3B"/>
    <w:rsid w:val="00A170A9"/>
    <w:rsid w:val="00A23113"/>
    <w:rsid w:val="00A315D6"/>
    <w:rsid w:val="00A322AF"/>
    <w:rsid w:val="00A325E2"/>
    <w:rsid w:val="00A3272A"/>
    <w:rsid w:val="00A35072"/>
    <w:rsid w:val="00A360F6"/>
    <w:rsid w:val="00A368CB"/>
    <w:rsid w:val="00A4380E"/>
    <w:rsid w:val="00A44012"/>
    <w:rsid w:val="00A476ED"/>
    <w:rsid w:val="00A573B3"/>
    <w:rsid w:val="00A65C90"/>
    <w:rsid w:val="00A73308"/>
    <w:rsid w:val="00A75FD6"/>
    <w:rsid w:val="00A76DEF"/>
    <w:rsid w:val="00A85B6C"/>
    <w:rsid w:val="00A9118D"/>
    <w:rsid w:val="00A947BC"/>
    <w:rsid w:val="00A956F2"/>
    <w:rsid w:val="00AA1E42"/>
    <w:rsid w:val="00AA3A4C"/>
    <w:rsid w:val="00AA533E"/>
    <w:rsid w:val="00AB117E"/>
    <w:rsid w:val="00AB429F"/>
    <w:rsid w:val="00AB48DB"/>
    <w:rsid w:val="00AB4A8E"/>
    <w:rsid w:val="00AC1E7F"/>
    <w:rsid w:val="00AD2BED"/>
    <w:rsid w:val="00AD3FB7"/>
    <w:rsid w:val="00AD5987"/>
    <w:rsid w:val="00AD59C2"/>
    <w:rsid w:val="00AD5BF1"/>
    <w:rsid w:val="00AD660B"/>
    <w:rsid w:val="00AD7DBB"/>
    <w:rsid w:val="00AE0B4C"/>
    <w:rsid w:val="00AE3C48"/>
    <w:rsid w:val="00AE7D04"/>
    <w:rsid w:val="00AF240E"/>
    <w:rsid w:val="00AF6273"/>
    <w:rsid w:val="00AF6499"/>
    <w:rsid w:val="00AF7831"/>
    <w:rsid w:val="00AF7AAB"/>
    <w:rsid w:val="00B00F78"/>
    <w:rsid w:val="00B01F51"/>
    <w:rsid w:val="00B02F0A"/>
    <w:rsid w:val="00B11FEF"/>
    <w:rsid w:val="00B12481"/>
    <w:rsid w:val="00B12C9B"/>
    <w:rsid w:val="00B20687"/>
    <w:rsid w:val="00B20F68"/>
    <w:rsid w:val="00B21BF5"/>
    <w:rsid w:val="00B2383B"/>
    <w:rsid w:val="00B25C32"/>
    <w:rsid w:val="00B33A2A"/>
    <w:rsid w:val="00B33B7F"/>
    <w:rsid w:val="00B34085"/>
    <w:rsid w:val="00B403F2"/>
    <w:rsid w:val="00B43277"/>
    <w:rsid w:val="00B51973"/>
    <w:rsid w:val="00B5453B"/>
    <w:rsid w:val="00B55E70"/>
    <w:rsid w:val="00B5714C"/>
    <w:rsid w:val="00B734E4"/>
    <w:rsid w:val="00B831E8"/>
    <w:rsid w:val="00B856D7"/>
    <w:rsid w:val="00B85AE5"/>
    <w:rsid w:val="00B92F72"/>
    <w:rsid w:val="00B93A31"/>
    <w:rsid w:val="00B97786"/>
    <w:rsid w:val="00BA2002"/>
    <w:rsid w:val="00BA3031"/>
    <w:rsid w:val="00BB257B"/>
    <w:rsid w:val="00BB3850"/>
    <w:rsid w:val="00BB7BEB"/>
    <w:rsid w:val="00BC789D"/>
    <w:rsid w:val="00BC7E96"/>
    <w:rsid w:val="00BD470E"/>
    <w:rsid w:val="00BD72A1"/>
    <w:rsid w:val="00BE6D0F"/>
    <w:rsid w:val="00BF05E0"/>
    <w:rsid w:val="00BF10F2"/>
    <w:rsid w:val="00BF121B"/>
    <w:rsid w:val="00BF2D89"/>
    <w:rsid w:val="00BF63A4"/>
    <w:rsid w:val="00BF663A"/>
    <w:rsid w:val="00BF7273"/>
    <w:rsid w:val="00C01EFB"/>
    <w:rsid w:val="00C038AE"/>
    <w:rsid w:val="00C048D8"/>
    <w:rsid w:val="00C13520"/>
    <w:rsid w:val="00C14C16"/>
    <w:rsid w:val="00C156B0"/>
    <w:rsid w:val="00C17EC4"/>
    <w:rsid w:val="00C20A0B"/>
    <w:rsid w:val="00C24B0C"/>
    <w:rsid w:val="00C43D4E"/>
    <w:rsid w:val="00C45666"/>
    <w:rsid w:val="00C470F1"/>
    <w:rsid w:val="00C6039A"/>
    <w:rsid w:val="00C6087A"/>
    <w:rsid w:val="00C6301F"/>
    <w:rsid w:val="00C71B76"/>
    <w:rsid w:val="00C726E7"/>
    <w:rsid w:val="00C72A1D"/>
    <w:rsid w:val="00C7337D"/>
    <w:rsid w:val="00C76F31"/>
    <w:rsid w:val="00C76FB3"/>
    <w:rsid w:val="00C92D0E"/>
    <w:rsid w:val="00C94C2C"/>
    <w:rsid w:val="00C972BB"/>
    <w:rsid w:val="00CA106C"/>
    <w:rsid w:val="00CA12B9"/>
    <w:rsid w:val="00CA67ED"/>
    <w:rsid w:val="00CB2A00"/>
    <w:rsid w:val="00CB5BF3"/>
    <w:rsid w:val="00CB61E9"/>
    <w:rsid w:val="00CB7DCB"/>
    <w:rsid w:val="00CC1EDA"/>
    <w:rsid w:val="00CC1FCD"/>
    <w:rsid w:val="00CC6983"/>
    <w:rsid w:val="00CC7D9E"/>
    <w:rsid w:val="00CD1C6B"/>
    <w:rsid w:val="00CE111D"/>
    <w:rsid w:val="00CE3119"/>
    <w:rsid w:val="00CE3E98"/>
    <w:rsid w:val="00CF08B3"/>
    <w:rsid w:val="00CF0B68"/>
    <w:rsid w:val="00CF5066"/>
    <w:rsid w:val="00CF5BE8"/>
    <w:rsid w:val="00CF79B9"/>
    <w:rsid w:val="00D020EF"/>
    <w:rsid w:val="00D025F3"/>
    <w:rsid w:val="00D046E5"/>
    <w:rsid w:val="00D055E8"/>
    <w:rsid w:val="00D07ED0"/>
    <w:rsid w:val="00D1388D"/>
    <w:rsid w:val="00D15AE6"/>
    <w:rsid w:val="00D163EE"/>
    <w:rsid w:val="00D16404"/>
    <w:rsid w:val="00D2427F"/>
    <w:rsid w:val="00D26A1F"/>
    <w:rsid w:val="00D279B1"/>
    <w:rsid w:val="00D41B38"/>
    <w:rsid w:val="00D53139"/>
    <w:rsid w:val="00D63428"/>
    <w:rsid w:val="00D64C28"/>
    <w:rsid w:val="00D74A68"/>
    <w:rsid w:val="00D768F7"/>
    <w:rsid w:val="00D769CA"/>
    <w:rsid w:val="00D77616"/>
    <w:rsid w:val="00D84121"/>
    <w:rsid w:val="00D84E52"/>
    <w:rsid w:val="00D91BF3"/>
    <w:rsid w:val="00D9319D"/>
    <w:rsid w:val="00DA1D4A"/>
    <w:rsid w:val="00DA6018"/>
    <w:rsid w:val="00DB122F"/>
    <w:rsid w:val="00DB45D6"/>
    <w:rsid w:val="00DB5439"/>
    <w:rsid w:val="00DB572A"/>
    <w:rsid w:val="00DC0EC8"/>
    <w:rsid w:val="00DC6073"/>
    <w:rsid w:val="00DD04DC"/>
    <w:rsid w:val="00DD1B96"/>
    <w:rsid w:val="00DD4F04"/>
    <w:rsid w:val="00DD6C89"/>
    <w:rsid w:val="00DD7DCF"/>
    <w:rsid w:val="00DD7EC9"/>
    <w:rsid w:val="00DE0EBA"/>
    <w:rsid w:val="00DE10F3"/>
    <w:rsid w:val="00DE198B"/>
    <w:rsid w:val="00DE1FAB"/>
    <w:rsid w:val="00DE2031"/>
    <w:rsid w:val="00DF2E32"/>
    <w:rsid w:val="00E03E92"/>
    <w:rsid w:val="00E06630"/>
    <w:rsid w:val="00E11AC8"/>
    <w:rsid w:val="00E12067"/>
    <w:rsid w:val="00E13106"/>
    <w:rsid w:val="00E207E4"/>
    <w:rsid w:val="00E20E02"/>
    <w:rsid w:val="00E266C4"/>
    <w:rsid w:val="00E27E76"/>
    <w:rsid w:val="00E35FF7"/>
    <w:rsid w:val="00E37CE2"/>
    <w:rsid w:val="00E402F2"/>
    <w:rsid w:val="00E41A79"/>
    <w:rsid w:val="00E43F78"/>
    <w:rsid w:val="00E4474C"/>
    <w:rsid w:val="00E45A41"/>
    <w:rsid w:val="00E52924"/>
    <w:rsid w:val="00E711BD"/>
    <w:rsid w:val="00E757FD"/>
    <w:rsid w:val="00E81D4C"/>
    <w:rsid w:val="00E86594"/>
    <w:rsid w:val="00E90B62"/>
    <w:rsid w:val="00E90DF3"/>
    <w:rsid w:val="00E91F4B"/>
    <w:rsid w:val="00E95CC9"/>
    <w:rsid w:val="00E97DD2"/>
    <w:rsid w:val="00EA18D3"/>
    <w:rsid w:val="00EA4DE7"/>
    <w:rsid w:val="00EA670B"/>
    <w:rsid w:val="00EB32C9"/>
    <w:rsid w:val="00ED0481"/>
    <w:rsid w:val="00ED2CC2"/>
    <w:rsid w:val="00ED30DA"/>
    <w:rsid w:val="00ED5DB5"/>
    <w:rsid w:val="00EE2467"/>
    <w:rsid w:val="00EE7323"/>
    <w:rsid w:val="00EF6087"/>
    <w:rsid w:val="00F0042E"/>
    <w:rsid w:val="00F01EC2"/>
    <w:rsid w:val="00F11532"/>
    <w:rsid w:val="00F1349F"/>
    <w:rsid w:val="00F173E7"/>
    <w:rsid w:val="00F20585"/>
    <w:rsid w:val="00F2354A"/>
    <w:rsid w:val="00F261EC"/>
    <w:rsid w:val="00F33904"/>
    <w:rsid w:val="00F3622C"/>
    <w:rsid w:val="00F4385C"/>
    <w:rsid w:val="00F475A2"/>
    <w:rsid w:val="00F4784F"/>
    <w:rsid w:val="00F502DE"/>
    <w:rsid w:val="00F50FA7"/>
    <w:rsid w:val="00F516A2"/>
    <w:rsid w:val="00F712A4"/>
    <w:rsid w:val="00F74265"/>
    <w:rsid w:val="00F768F3"/>
    <w:rsid w:val="00F8157D"/>
    <w:rsid w:val="00F81B56"/>
    <w:rsid w:val="00F8718C"/>
    <w:rsid w:val="00F87E96"/>
    <w:rsid w:val="00F903C9"/>
    <w:rsid w:val="00F90977"/>
    <w:rsid w:val="00F912D5"/>
    <w:rsid w:val="00F93405"/>
    <w:rsid w:val="00F94CC8"/>
    <w:rsid w:val="00FA612E"/>
    <w:rsid w:val="00FA716C"/>
    <w:rsid w:val="00FB2942"/>
    <w:rsid w:val="00FB5200"/>
    <w:rsid w:val="00FC1418"/>
    <w:rsid w:val="00FC5301"/>
    <w:rsid w:val="00FC73BB"/>
    <w:rsid w:val="00FD413A"/>
    <w:rsid w:val="00FD6A72"/>
    <w:rsid w:val="00FD7D02"/>
    <w:rsid w:val="00FE17D2"/>
    <w:rsid w:val="00FE3C2E"/>
    <w:rsid w:val="00FE7E42"/>
    <w:rsid w:val="00FF1332"/>
    <w:rsid w:val="00FF37B8"/>
    <w:rsid w:val="00FF3D57"/>
    <w:rsid w:val="00FF4D4F"/>
    <w:rsid w:val="00FF5804"/>
    <w:rsid w:val="019E6217"/>
    <w:rsid w:val="028A2F49"/>
    <w:rsid w:val="0436E240"/>
    <w:rsid w:val="0515B410"/>
    <w:rsid w:val="05F05E14"/>
    <w:rsid w:val="05FA742B"/>
    <w:rsid w:val="0675561C"/>
    <w:rsid w:val="0760F3FE"/>
    <w:rsid w:val="08D3E338"/>
    <w:rsid w:val="0A6F123A"/>
    <w:rsid w:val="0AB52F7A"/>
    <w:rsid w:val="0AEFD105"/>
    <w:rsid w:val="0B6396BE"/>
    <w:rsid w:val="0CE114BE"/>
    <w:rsid w:val="0DE3299F"/>
    <w:rsid w:val="0EFBE724"/>
    <w:rsid w:val="100E0F8A"/>
    <w:rsid w:val="1128241E"/>
    <w:rsid w:val="11BA0F5B"/>
    <w:rsid w:val="13690C64"/>
    <w:rsid w:val="13BFD5D5"/>
    <w:rsid w:val="13CF7473"/>
    <w:rsid w:val="1488394E"/>
    <w:rsid w:val="16FCE99A"/>
    <w:rsid w:val="19750F45"/>
    <w:rsid w:val="1B91798D"/>
    <w:rsid w:val="1CDFD3F7"/>
    <w:rsid w:val="1DB1405F"/>
    <w:rsid w:val="1FA43144"/>
    <w:rsid w:val="2171189F"/>
    <w:rsid w:val="2305E1A8"/>
    <w:rsid w:val="243CF763"/>
    <w:rsid w:val="25061D26"/>
    <w:rsid w:val="25CC4FDC"/>
    <w:rsid w:val="25CE9ECB"/>
    <w:rsid w:val="26435520"/>
    <w:rsid w:val="264B4694"/>
    <w:rsid w:val="2694C17B"/>
    <w:rsid w:val="26AE7049"/>
    <w:rsid w:val="29A0E537"/>
    <w:rsid w:val="2A3EC945"/>
    <w:rsid w:val="2AD211CB"/>
    <w:rsid w:val="2B2D4CF3"/>
    <w:rsid w:val="2B3CB598"/>
    <w:rsid w:val="2B9D5E6C"/>
    <w:rsid w:val="2D4924EE"/>
    <w:rsid w:val="2E8CEFDD"/>
    <w:rsid w:val="2F5F9D83"/>
    <w:rsid w:val="2FE3CFA5"/>
    <w:rsid w:val="328BCC28"/>
    <w:rsid w:val="332BC649"/>
    <w:rsid w:val="347B7367"/>
    <w:rsid w:val="34B6B3BD"/>
    <w:rsid w:val="34CE73AD"/>
    <w:rsid w:val="35C633E7"/>
    <w:rsid w:val="38F2628C"/>
    <w:rsid w:val="39329715"/>
    <w:rsid w:val="3A1B0804"/>
    <w:rsid w:val="3AF33087"/>
    <w:rsid w:val="3D82A648"/>
    <w:rsid w:val="3DCE253C"/>
    <w:rsid w:val="3DECDFDB"/>
    <w:rsid w:val="3F6FF00B"/>
    <w:rsid w:val="4121A901"/>
    <w:rsid w:val="4124809D"/>
    <w:rsid w:val="4176C625"/>
    <w:rsid w:val="425D07B3"/>
    <w:rsid w:val="433B0116"/>
    <w:rsid w:val="440E2522"/>
    <w:rsid w:val="4475D266"/>
    <w:rsid w:val="44E59F7B"/>
    <w:rsid w:val="4605D92F"/>
    <w:rsid w:val="461923CD"/>
    <w:rsid w:val="46FEFC93"/>
    <w:rsid w:val="494F7893"/>
    <w:rsid w:val="49F39106"/>
    <w:rsid w:val="4A235575"/>
    <w:rsid w:val="4C664EA2"/>
    <w:rsid w:val="4DBFF9EF"/>
    <w:rsid w:val="4FBF4AA4"/>
    <w:rsid w:val="53E478C4"/>
    <w:rsid w:val="55472231"/>
    <w:rsid w:val="56EBF8E4"/>
    <w:rsid w:val="57357FC7"/>
    <w:rsid w:val="5835E91D"/>
    <w:rsid w:val="588F0372"/>
    <w:rsid w:val="58D273A3"/>
    <w:rsid w:val="59347B75"/>
    <w:rsid w:val="5A1E1B27"/>
    <w:rsid w:val="5AEB7656"/>
    <w:rsid w:val="5C02A07E"/>
    <w:rsid w:val="5E232351"/>
    <w:rsid w:val="5E29F1A2"/>
    <w:rsid w:val="5FBF1104"/>
    <w:rsid w:val="602BCDB0"/>
    <w:rsid w:val="62191CC4"/>
    <w:rsid w:val="623889D2"/>
    <w:rsid w:val="6399FE81"/>
    <w:rsid w:val="65118186"/>
    <w:rsid w:val="65B34657"/>
    <w:rsid w:val="66136088"/>
    <w:rsid w:val="67AC256A"/>
    <w:rsid w:val="683B2E50"/>
    <w:rsid w:val="694F48D1"/>
    <w:rsid w:val="69756EED"/>
    <w:rsid w:val="6B0DA674"/>
    <w:rsid w:val="6BA7360B"/>
    <w:rsid w:val="6D1B1B7C"/>
    <w:rsid w:val="6D7602F4"/>
    <w:rsid w:val="6F44D16A"/>
    <w:rsid w:val="6F84CDC2"/>
    <w:rsid w:val="72036D21"/>
    <w:rsid w:val="72141B2C"/>
    <w:rsid w:val="7263B520"/>
    <w:rsid w:val="743F314D"/>
    <w:rsid w:val="744134C5"/>
    <w:rsid w:val="76A0A0FB"/>
    <w:rsid w:val="771C8947"/>
    <w:rsid w:val="77214EB5"/>
    <w:rsid w:val="78D52139"/>
    <w:rsid w:val="79388F85"/>
    <w:rsid w:val="7BD72E00"/>
    <w:rsid w:val="7BFD910C"/>
    <w:rsid w:val="7FD634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A31370"/>
  <w15:chartTrackingRefBased/>
  <w15:docId w15:val="{19A97919-91E6-4078-B211-F3C28D849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18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autoRedefine/>
    <w:qFormat/>
    <w:rsid w:val="0035318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91F4B"/>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DD04DC"/>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353189"/>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353189"/>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353189"/>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353189"/>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353189"/>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353189"/>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18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91F4B"/>
    <w:rPr>
      <w:rFonts w:ascii="Times New Roman" w:eastAsia="Arial" w:hAnsi="Times New Roman" w:cs="Times New Roman"/>
      <w:b/>
      <w:kern w:val="0"/>
      <w:sz w:val="24"/>
      <w:szCs w:val="24"/>
      <w:lang w:eastAsia="x-none"/>
      <w14:ligatures w14:val="none"/>
    </w:rPr>
  </w:style>
  <w:style w:type="character" w:customStyle="1" w:styleId="Heading3Char">
    <w:name w:val="Heading 3 Char"/>
    <w:basedOn w:val="DefaultParagraphFont"/>
    <w:uiPriority w:val="99"/>
    <w:rsid w:val="0035318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353189"/>
    <w:rPr>
      <w:rFonts w:ascii="Verdana" w:eastAsia="Times New Roman" w:hAnsi="Verdana" w:cs="Times New Roman"/>
      <w:b/>
      <w:kern w:val="0"/>
      <w:sz w:val="20"/>
      <w:szCs w:val="24"/>
      <w:u w:val="single"/>
      <w14:ligatures w14:val="none"/>
    </w:rPr>
  </w:style>
  <w:style w:type="character" w:customStyle="1" w:styleId="Heading5Char">
    <w:name w:val="Heading 5 Char"/>
    <w:basedOn w:val="DefaultParagraphFont"/>
    <w:link w:val="Heading5"/>
    <w:uiPriority w:val="1"/>
    <w:rsid w:val="00353189"/>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353189"/>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353189"/>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353189"/>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353189"/>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semiHidden/>
    <w:rsid w:val="00353189"/>
    <w:pPr>
      <w:ind w:left="440" w:hanging="440"/>
    </w:pPr>
  </w:style>
  <w:style w:type="paragraph" w:customStyle="1" w:styleId="Aufzhlungszeichen1">
    <w:name w:val="Aufzählungszeichen1"/>
    <w:basedOn w:val="Normal"/>
    <w:uiPriority w:val="1"/>
    <w:qFormat/>
    <w:rsid w:val="00353189"/>
    <w:pPr>
      <w:numPr>
        <w:numId w:val="1"/>
      </w:numPr>
      <w:spacing w:line="240" w:lineRule="exact"/>
    </w:pPr>
  </w:style>
  <w:style w:type="paragraph" w:customStyle="1" w:styleId="Aufzhlungszeichen2">
    <w:name w:val="Aufzählungszeichen2"/>
    <w:basedOn w:val="Normal"/>
    <w:uiPriority w:val="1"/>
    <w:qFormat/>
    <w:rsid w:val="00353189"/>
    <w:pPr>
      <w:numPr>
        <w:numId w:val="2"/>
      </w:numPr>
      <w:spacing w:line="240" w:lineRule="exact"/>
    </w:pPr>
  </w:style>
  <w:style w:type="paragraph" w:customStyle="1" w:styleId="Aufzhlungszeichen3">
    <w:name w:val="Aufzählungszeichen3"/>
    <w:basedOn w:val="Normal"/>
    <w:uiPriority w:val="1"/>
    <w:qFormat/>
    <w:rsid w:val="00353189"/>
    <w:pPr>
      <w:numPr>
        <w:numId w:val="3"/>
      </w:numPr>
      <w:spacing w:line="240" w:lineRule="exact"/>
    </w:pPr>
  </w:style>
  <w:style w:type="paragraph" w:customStyle="1" w:styleId="Aufzhlungszeichen4">
    <w:name w:val="Aufzählungszeichen4"/>
    <w:basedOn w:val="Normal"/>
    <w:uiPriority w:val="1"/>
    <w:qFormat/>
    <w:rsid w:val="00353189"/>
    <w:pPr>
      <w:numPr>
        <w:numId w:val="4"/>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353189"/>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353189"/>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
    <w:uiPriority w:val="99"/>
    <w:qFormat/>
    <w:rsid w:val="00353189"/>
    <w:rPr>
      <w:rFonts w:ascii="Arial" w:hAnsi="Arial" w:cs="Times New Roman"/>
      <w:kern w:val="0"/>
      <w:position w:val="4"/>
      <w:sz w:val="12"/>
      <w:szCs w:val="12"/>
      <w:vertAlign w:val="baseline"/>
    </w:rPr>
  </w:style>
  <w:style w:type="paragraph" w:styleId="Footer">
    <w:name w:val="footer"/>
    <w:basedOn w:val="Normal"/>
    <w:link w:val="FooterChar"/>
    <w:uiPriority w:val="99"/>
    <w:rsid w:val="00353189"/>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353189"/>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353189"/>
    <w:pPr>
      <w:numPr>
        <w:numId w:val="7"/>
      </w:numPr>
      <w:spacing w:line="312" w:lineRule="auto"/>
    </w:pPr>
  </w:style>
  <w:style w:type="paragraph" w:customStyle="1" w:styleId="GliederungmitNummerierung">
    <w:name w:val="Gliederung mit Nummerierung"/>
    <w:basedOn w:val="Normal"/>
    <w:uiPriority w:val="1"/>
    <w:qFormat/>
    <w:rsid w:val="00353189"/>
    <w:pPr>
      <w:numPr>
        <w:numId w:val="8"/>
      </w:numPr>
      <w:spacing w:line="312" w:lineRule="auto"/>
    </w:pPr>
  </w:style>
  <w:style w:type="paragraph" w:customStyle="1" w:styleId="HngEinrckung1">
    <w:name w:val="Häng. Einrückung1"/>
    <w:basedOn w:val="Normal"/>
    <w:uiPriority w:val="1"/>
    <w:qFormat/>
    <w:rsid w:val="00353189"/>
    <w:pPr>
      <w:spacing w:line="312" w:lineRule="auto"/>
      <w:ind w:left="567" w:hanging="567"/>
    </w:pPr>
  </w:style>
  <w:style w:type="paragraph" w:customStyle="1" w:styleId="HngEinrckung2">
    <w:name w:val="Häng. Einrückung2"/>
    <w:basedOn w:val="Normal"/>
    <w:uiPriority w:val="1"/>
    <w:qFormat/>
    <w:rsid w:val="00353189"/>
    <w:pPr>
      <w:spacing w:line="312" w:lineRule="auto"/>
      <w:ind w:left="1134" w:hanging="567"/>
    </w:pPr>
  </w:style>
  <w:style w:type="paragraph" w:customStyle="1" w:styleId="HngEinrckung3">
    <w:name w:val="Häng. Einrückung3"/>
    <w:basedOn w:val="Normal"/>
    <w:uiPriority w:val="1"/>
    <w:qFormat/>
    <w:rsid w:val="00353189"/>
    <w:pPr>
      <w:spacing w:line="312" w:lineRule="auto"/>
      <w:ind w:left="1701" w:hanging="567"/>
    </w:pPr>
  </w:style>
  <w:style w:type="character" w:styleId="Hyperlink">
    <w:name w:val="Hyperlink"/>
    <w:uiPriority w:val="99"/>
    <w:rsid w:val="00353189"/>
    <w:rPr>
      <w:rFonts w:cs="Times New Roman"/>
      <w:color w:val="0000FF"/>
      <w:u w:val="single"/>
    </w:rPr>
  </w:style>
  <w:style w:type="paragraph" w:styleId="Header">
    <w:name w:val="header"/>
    <w:basedOn w:val="Normal"/>
    <w:link w:val="HeaderChar"/>
    <w:uiPriority w:val="99"/>
    <w:rsid w:val="00353189"/>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353189"/>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353189"/>
    <w:pPr>
      <w:framePr w:w="851" w:h="851" w:hSpace="284" w:wrap="around" w:vAnchor="text" w:hAnchor="page" w:y="1"/>
    </w:pPr>
    <w:rPr>
      <w:i/>
      <w:szCs w:val="22"/>
    </w:rPr>
  </w:style>
  <w:style w:type="paragraph" w:customStyle="1" w:styleId="Nummerierungsart1">
    <w:name w:val="Nummerierungsart1"/>
    <w:basedOn w:val="Normal"/>
    <w:uiPriority w:val="1"/>
    <w:qFormat/>
    <w:rsid w:val="00353189"/>
    <w:pPr>
      <w:numPr>
        <w:numId w:val="9"/>
      </w:numPr>
    </w:pPr>
  </w:style>
  <w:style w:type="paragraph" w:customStyle="1" w:styleId="Nummerierungsart2">
    <w:name w:val="Nummerierungsart2"/>
    <w:basedOn w:val="Normal"/>
    <w:uiPriority w:val="1"/>
    <w:qFormat/>
    <w:rsid w:val="00353189"/>
    <w:pPr>
      <w:numPr>
        <w:numId w:val="10"/>
      </w:numPr>
    </w:pPr>
  </w:style>
  <w:style w:type="paragraph" w:customStyle="1" w:styleId="Nummerierungsart3">
    <w:name w:val="Nummerierungsart3"/>
    <w:basedOn w:val="Normal"/>
    <w:uiPriority w:val="1"/>
    <w:qFormat/>
    <w:rsid w:val="00353189"/>
    <w:pPr>
      <w:numPr>
        <w:numId w:val="11"/>
      </w:numPr>
    </w:pPr>
  </w:style>
  <w:style w:type="paragraph" w:customStyle="1" w:styleId="Nummerierungsart4">
    <w:name w:val="Nummerierungsart4"/>
    <w:basedOn w:val="Normal"/>
    <w:uiPriority w:val="1"/>
    <w:qFormat/>
    <w:rsid w:val="00353189"/>
    <w:pPr>
      <w:numPr>
        <w:numId w:val="12"/>
      </w:numPr>
    </w:pPr>
  </w:style>
  <w:style w:type="character" w:styleId="PageNumber">
    <w:name w:val="page number"/>
    <w:uiPriority w:val="99"/>
    <w:rsid w:val="00353189"/>
    <w:rPr>
      <w:rFonts w:ascii="Arial" w:hAnsi="Arial" w:cs="Times New Roman"/>
      <w:sz w:val="22"/>
    </w:rPr>
  </w:style>
  <w:style w:type="character" w:customStyle="1" w:styleId="Heading3Char1">
    <w:name w:val="Heading 3 Char1"/>
    <w:link w:val="Heading3"/>
    <w:uiPriority w:val="99"/>
    <w:locked/>
    <w:rsid w:val="00DD04DC"/>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35318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91F4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35318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35318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35318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35318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353189"/>
    <w:pPr>
      <w:tabs>
        <w:tab w:val="right" w:leader="dot" w:pos="9071"/>
      </w:tabs>
      <w:ind w:left="1134" w:hanging="1134"/>
    </w:pPr>
    <w:rPr>
      <w:sz w:val="16"/>
    </w:rPr>
  </w:style>
  <w:style w:type="paragraph" w:styleId="TOC8">
    <w:name w:val="toc 8"/>
    <w:basedOn w:val="Normal"/>
    <w:next w:val="Normal"/>
    <w:autoRedefine/>
    <w:uiPriority w:val="39"/>
    <w:rsid w:val="0035318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353189"/>
    <w:pPr>
      <w:tabs>
        <w:tab w:val="right" w:leader="dot" w:pos="9071"/>
      </w:tabs>
      <w:ind w:left="1361" w:hanging="1361"/>
    </w:pPr>
    <w:rPr>
      <w:sz w:val="16"/>
    </w:rPr>
  </w:style>
  <w:style w:type="paragraph" w:styleId="Quote">
    <w:name w:val="Quote"/>
    <w:basedOn w:val="Normal"/>
    <w:next w:val="Normal"/>
    <w:link w:val="QuoteChar"/>
    <w:uiPriority w:val="29"/>
    <w:qFormat/>
    <w:rsid w:val="00353189"/>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353189"/>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35318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353189"/>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353189"/>
    <w:rPr>
      <w:rFonts w:ascii="Arial" w:eastAsia="Arial" w:hAnsi="Arial" w:cs="Times New Roman"/>
      <w:kern w:val="0"/>
      <w:sz w:val="20"/>
      <w:szCs w:val="20"/>
      <w:lang w:val="x-none" w:eastAsia="de-DE"/>
      <w14:ligatures w14:val="none"/>
    </w:rPr>
  </w:style>
  <w:style w:type="character" w:styleId="EndnoteReference">
    <w:name w:val="endnote reference"/>
    <w:uiPriority w:val="1"/>
    <w:rsid w:val="00353189"/>
    <w:rPr>
      <w:rFonts w:ascii="Arial" w:hAnsi="Arial" w:cs="Times New Roman"/>
      <w:color w:val="auto"/>
      <w:position w:val="4"/>
      <w:sz w:val="12"/>
      <w:vertAlign w:val="baseline"/>
    </w:rPr>
  </w:style>
  <w:style w:type="paragraph" w:customStyle="1" w:styleId="Ballontekst">
    <w:name w:val="Ballontekst"/>
    <w:basedOn w:val="Normal"/>
    <w:uiPriority w:val="99"/>
    <w:semiHidden/>
    <w:rsid w:val="00353189"/>
    <w:rPr>
      <w:rFonts w:ascii="Tahoma" w:hAnsi="Tahoma" w:cs="Tahoma"/>
      <w:sz w:val="16"/>
      <w:szCs w:val="16"/>
    </w:rPr>
  </w:style>
  <w:style w:type="character" w:styleId="CommentReference">
    <w:name w:val="annotation reference"/>
    <w:uiPriority w:val="99"/>
    <w:rsid w:val="00353189"/>
    <w:rPr>
      <w:rFonts w:cs="Times New Roman"/>
      <w:sz w:val="16"/>
      <w:szCs w:val="16"/>
    </w:rPr>
  </w:style>
  <w:style w:type="paragraph" w:styleId="CommentText">
    <w:name w:val="annotation text"/>
    <w:basedOn w:val="Normal"/>
    <w:link w:val="CommentTextChar"/>
    <w:uiPriority w:val="99"/>
    <w:rsid w:val="00353189"/>
    <w:rPr>
      <w:rFonts w:eastAsia="Arial"/>
      <w:szCs w:val="20"/>
      <w:lang w:val="en-US" w:eastAsia="x-none"/>
    </w:rPr>
  </w:style>
  <w:style w:type="character" w:customStyle="1" w:styleId="CommentTextChar">
    <w:name w:val="Comment Text Char"/>
    <w:basedOn w:val="DefaultParagraphFont"/>
    <w:link w:val="CommentText"/>
    <w:uiPriority w:val="99"/>
    <w:rsid w:val="00353189"/>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353189"/>
    <w:rPr>
      <w:b/>
      <w:bCs/>
    </w:rPr>
  </w:style>
  <w:style w:type="character" w:styleId="FollowedHyperlink">
    <w:name w:val="FollowedHyperlink"/>
    <w:uiPriority w:val="99"/>
    <w:rsid w:val="00353189"/>
    <w:rPr>
      <w:rFonts w:cs="Times New Roman"/>
      <w:color w:val="606420"/>
      <w:u w:val="single"/>
    </w:rPr>
  </w:style>
  <w:style w:type="paragraph" w:styleId="BalloonText">
    <w:name w:val="Balloon Text"/>
    <w:basedOn w:val="Normal"/>
    <w:link w:val="BalloonTextChar"/>
    <w:uiPriority w:val="99"/>
    <w:rsid w:val="00353189"/>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353189"/>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353189"/>
    <w:rPr>
      <w:b/>
      <w:bCs/>
    </w:rPr>
  </w:style>
  <w:style w:type="character" w:customStyle="1" w:styleId="CommentSubjectChar">
    <w:name w:val="Comment Subject Char"/>
    <w:basedOn w:val="CommentTextChar"/>
    <w:link w:val="CommentSubject"/>
    <w:uiPriority w:val="99"/>
    <w:rsid w:val="00353189"/>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39"/>
    <w:rsid w:val="00353189"/>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353189"/>
    <w:pPr>
      <w:spacing w:before="240" w:after="60"/>
    </w:pPr>
    <w:rPr>
      <w:iCs/>
      <w:szCs w:val="28"/>
    </w:rPr>
  </w:style>
  <w:style w:type="character" w:customStyle="1" w:styleId="Formatvorlageberschrift4Char">
    <w:name w:val="Formatvorlage Überschrift 4 Char"/>
    <w:link w:val="Formatvorlageberschrift4"/>
    <w:uiPriority w:val="99"/>
    <w:locked/>
    <w:rsid w:val="0035318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353189"/>
    <w:pPr>
      <w:tabs>
        <w:tab w:val="num" w:pos="540"/>
      </w:tabs>
      <w:spacing w:before="240"/>
      <w:ind w:left="540" w:hanging="540"/>
    </w:pPr>
    <w:rPr>
      <w:b w:val="0"/>
      <w:kern w:val="32"/>
    </w:rPr>
  </w:style>
  <w:style w:type="paragraph" w:customStyle="1" w:styleId="Instructionsberschrift2">
    <w:name w:val="Instructions Überschrift 2"/>
    <w:basedOn w:val="Heading2"/>
    <w:rsid w:val="00353189"/>
    <w:pPr>
      <w:spacing w:after="240"/>
    </w:pPr>
    <w:rPr>
      <w:rFonts w:cs="Arial"/>
      <w:b w:val="0"/>
      <w:sz w:val="20"/>
    </w:rPr>
  </w:style>
  <w:style w:type="paragraph" w:customStyle="1" w:styleId="Instructionsberschrift3">
    <w:name w:val="Instructions Überschrift 3"/>
    <w:basedOn w:val="Heading3"/>
    <w:link w:val="Instructionsberschrift3Zchn"/>
    <w:rsid w:val="00353189"/>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35318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35318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C76F31"/>
    <w:pPr>
      <w:spacing w:before="0" w:line="256" w:lineRule="auto"/>
    </w:pPr>
    <w:rPr>
      <w:rFonts w:ascii="Times New Roman" w:eastAsia="Arial" w:hAnsi="Times New Roman"/>
      <w:bCs/>
      <w:sz w:val="22"/>
      <w:szCs w:val="22"/>
      <w:lang w:val="fr-FR" w:eastAsia="de-DE"/>
    </w:rPr>
  </w:style>
  <w:style w:type="character" w:customStyle="1" w:styleId="Instructionsberschrift4Char">
    <w:name w:val="Instructions Überschrift 4 Char"/>
    <w:link w:val="Instructionsberschrift4"/>
    <w:uiPriority w:val="99"/>
    <w:locked/>
    <w:rsid w:val="0035318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353189"/>
    <w:rPr>
      <w:rFonts w:ascii="Verdana" w:hAnsi="Verdana" w:cs="Times New Roman"/>
      <w:b/>
      <w:bCs/>
      <w:sz w:val="20"/>
      <w:u w:val="single"/>
    </w:rPr>
  </w:style>
  <w:style w:type="character" w:customStyle="1" w:styleId="InstructionsTabelleText">
    <w:name w:val="Instructions Tabelle Text"/>
    <w:rsid w:val="00353189"/>
    <w:rPr>
      <w:rFonts w:ascii="Verdana" w:hAnsi="Verdana" w:cs="Times New Roman"/>
      <w:sz w:val="20"/>
    </w:rPr>
  </w:style>
  <w:style w:type="character" w:customStyle="1" w:styleId="FormatvorlageInstructionsTabelleText">
    <w:name w:val="Formatvorlage Instructions Tabelle Text"/>
    <w:uiPriority w:val="99"/>
    <w:qFormat/>
    <w:rsid w:val="0035318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353189"/>
    <w:pPr>
      <w:ind w:left="0" w:firstLine="0"/>
    </w:pPr>
    <w:rPr>
      <w:szCs w:val="20"/>
    </w:rPr>
  </w:style>
  <w:style w:type="paragraph" w:customStyle="1" w:styleId="Texte2">
    <w:name w:val="Texte 2"/>
    <w:basedOn w:val="Normal"/>
    <w:uiPriority w:val="99"/>
    <w:rsid w:val="00353189"/>
    <w:pPr>
      <w:spacing w:after="0"/>
      <w:ind w:left="567"/>
    </w:pPr>
    <w:rPr>
      <w:sz w:val="22"/>
      <w:szCs w:val="20"/>
      <w:lang w:eastAsia="fr-FR"/>
    </w:rPr>
  </w:style>
  <w:style w:type="paragraph" w:customStyle="1" w:styleId="Prrafodelista1">
    <w:name w:val="Párrafo de lista1"/>
    <w:basedOn w:val="Normal"/>
    <w:uiPriority w:val="99"/>
    <w:rsid w:val="00353189"/>
    <w:pPr>
      <w:ind w:left="720"/>
    </w:pPr>
  </w:style>
  <w:style w:type="paragraph" w:customStyle="1" w:styleId="Prrafodelista2">
    <w:name w:val="Párrafo de lista2"/>
    <w:basedOn w:val="Normal"/>
    <w:uiPriority w:val="99"/>
    <w:rsid w:val="00353189"/>
    <w:pPr>
      <w:ind w:left="708"/>
    </w:pPr>
  </w:style>
  <w:style w:type="paragraph" w:styleId="PlainText">
    <w:name w:val="Plain Text"/>
    <w:basedOn w:val="Normal"/>
    <w:link w:val="PlainTextChar"/>
    <w:uiPriority w:val="99"/>
    <w:rsid w:val="00353189"/>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353189"/>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353189"/>
    <w:pPr>
      <w:ind w:left="708"/>
    </w:pPr>
  </w:style>
  <w:style w:type="character" w:customStyle="1" w:styleId="InstructionsTextChar">
    <w:name w:val="Instructions Text Char"/>
    <w:link w:val="InstructionsText"/>
    <w:locked/>
    <w:rsid w:val="00C76F31"/>
    <w:rPr>
      <w:rFonts w:ascii="Times New Roman" w:eastAsia="Arial" w:hAnsi="Times New Roman" w:cs="Times New Roman"/>
      <w:bCs/>
      <w:kern w:val="0"/>
      <w:lang w:val="fr-FR" w:eastAsia="de-DE"/>
      <w14:ligatures w14:val="none"/>
    </w:rPr>
  </w:style>
  <w:style w:type="paragraph" w:styleId="Revision">
    <w:name w:val="Revision"/>
    <w:hidden/>
    <w:uiPriority w:val="99"/>
    <w:semiHidden/>
    <w:rsid w:val="00353189"/>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aliases w:val="Paragraphe EI,Paragraphe de liste1,EC,List Paragraph_Sections,Issue Action POC,3,POCG Table Text,Dot pt,F5 List Paragraph,List Paragraph Char Char Char,Indicator Text,Colorful List - Accent 11,Numbered Para 1,Bullet Points"/>
    <w:basedOn w:val="Normal"/>
    <w:link w:val="ListParagraphChar"/>
    <w:uiPriority w:val="34"/>
    <w:qFormat/>
    <w:rsid w:val="00353189"/>
    <w:pPr>
      <w:ind w:left="708"/>
    </w:pPr>
  </w:style>
  <w:style w:type="character" w:styleId="PlaceholderText">
    <w:name w:val="Placeholder Text"/>
    <w:uiPriority w:val="99"/>
    <w:semiHidden/>
    <w:rsid w:val="00353189"/>
    <w:rPr>
      <w:rFonts w:cs="Times New Roman"/>
      <w:color w:val="808080"/>
    </w:rPr>
  </w:style>
  <w:style w:type="paragraph" w:customStyle="1" w:styleId="InstructionsText2">
    <w:name w:val="Instructions Text 2"/>
    <w:basedOn w:val="InstructionsText"/>
    <w:qFormat/>
    <w:rsid w:val="00353189"/>
    <w:pPr>
      <w:numPr>
        <w:numId w:val="15"/>
      </w:numPr>
      <w:spacing w:after="240"/>
    </w:pPr>
  </w:style>
  <w:style w:type="character" w:customStyle="1" w:styleId="Instructionsberschrift3Char">
    <w:name w:val="Instructions Überschrift 3 Char"/>
    <w:locked/>
    <w:rsid w:val="00353189"/>
    <w:rPr>
      <w:rFonts w:ascii="Verdana" w:hAnsi="Verdana" w:cs="Arial"/>
      <w:b/>
      <w:bCs/>
      <w:sz w:val="26"/>
      <w:szCs w:val="26"/>
      <w:u w:val="single"/>
      <w:lang w:val="en-US" w:eastAsia="en-US" w:bidi="ar-SA"/>
    </w:rPr>
  </w:style>
  <w:style w:type="paragraph" w:customStyle="1" w:styleId="CM4">
    <w:name w:val="CM4"/>
    <w:basedOn w:val="Normal"/>
    <w:next w:val="Normal"/>
    <w:uiPriority w:val="99"/>
    <w:rsid w:val="00353189"/>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353189"/>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353189"/>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35318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35318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35318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353189"/>
    <w:rPr>
      <w:rFonts w:cs="Times New Roman"/>
      <w:sz w:val="24"/>
      <w:szCs w:val="24"/>
      <w:lang w:eastAsia="de-DE"/>
    </w:rPr>
  </w:style>
  <w:style w:type="paragraph" w:customStyle="1" w:styleId="NumPar1">
    <w:name w:val="NumPar 1"/>
    <w:basedOn w:val="Normal"/>
    <w:next w:val="Normal"/>
    <w:link w:val="NumPar1Char"/>
    <w:uiPriority w:val="99"/>
    <w:rsid w:val="0035318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353189"/>
    <w:rPr>
      <w:rFonts w:cs="Times New Roman"/>
      <w:sz w:val="24"/>
      <w:szCs w:val="24"/>
    </w:rPr>
  </w:style>
  <w:style w:type="paragraph" w:customStyle="1" w:styleId="Point1letter">
    <w:name w:val="Point 1 (letter)"/>
    <w:basedOn w:val="Normal"/>
    <w:link w:val="Point1letterChar"/>
    <w:uiPriority w:val="99"/>
    <w:rsid w:val="0035318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353189"/>
    <w:pPr>
      <w:numPr>
        <w:numId w:val="6"/>
      </w:numPr>
    </w:pPr>
  </w:style>
  <w:style w:type="numbering" w:customStyle="1" w:styleId="Formatvorlage3">
    <w:name w:val="Formatvorlage3"/>
    <w:uiPriority w:val="99"/>
    <w:rsid w:val="00353189"/>
    <w:pPr>
      <w:numPr>
        <w:numId w:val="16"/>
      </w:numPr>
    </w:pPr>
  </w:style>
  <w:style w:type="numbering" w:customStyle="1" w:styleId="Formatvorlage1">
    <w:name w:val="Formatvorlage1"/>
    <w:uiPriority w:val="99"/>
    <w:rsid w:val="00353189"/>
    <w:pPr>
      <w:numPr>
        <w:numId w:val="5"/>
      </w:numPr>
    </w:pPr>
  </w:style>
  <w:style w:type="numbering" w:customStyle="1" w:styleId="Formatvorlage4">
    <w:name w:val="Formatvorlage4"/>
    <w:uiPriority w:val="99"/>
    <w:rsid w:val="00353189"/>
    <w:pPr>
      <w:numPr>
        <w:numId w:val="18"/>
      </w:numPr>
    </w:pPr>
  </w:style>
  <w:style w:type="paragraph" w:customStyle="1" w:styleId="ListParagraph1">
    <w:name w:val="List Paragraph1"/>
    <w:basedOn w:val="Normal"/>
    <w:uiPriority w:val="99"/>
    <w:qFormat/>
    <w:rsid w:val="00353189"/>
    <w:pPr>
      <w:ind w:left="708"/>
    </w:pPr>
  </w:style>
  <w:style w:type="paragraph" w:customStyle="1" w:styleId="Anfhrungszeichen1">
    <w:name w:val="Anführungszeichen1"/>
    <w:basedOn w:val="Normal"/>
    <w:next w:val="Normal"/>
    <w:link w:val="AnfhrungszeichenZchn"/>
    <w:uiPriority w:val="29"/>
    <w:semiHidden/>
    <w:rsid w:val="00353189"/>
    <w:rPr>
      <w:i/>
      <w:iCs/>
      <w:color w:val="000000"/>
    </w:rPr>
  </w:style>
  <w:style w:type="character" w:customStyle="1" w:styleId="AnfhrungszeichenZchn">
    <w:name w:val="Anführungszeichen Zchn"/>
    <w:link w:val="Anfhrungszeichen1"/>
    <w:uiPriority w:val="29"/>
    <w:semiHidden/>
    <w:rsid w:val="0035318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35318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353189"/>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353189"/>
    <w:pPr>
      <w:ind w:left="708"/>
    </w:pPr>
  </w:style>
  <w:style w:type="character" w:customStyle="1" w:styleId="Platzhaltertext1">
    <w:name w:val="Platzhaltertext1"/>
    <w:uiPriority w:val="99"/>
    <w:semiHidden/>
    <w:rsid w:val="00353189"/>
    <w:rPr>
      <w:color w:val="808080"/>
    </w:rPr>
  </w:style>
  <w:style w:type="paragraph" w:customStyle="1" w:styleId="Default">
    <w:name w:val="Default"/>
    <w:rsid w:val="0035318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353189"/>
    <w:rPr>
      <w:rFonts w:ascii="EU Albertina" w:hAnsi="EU Albertina" w:cs="Times New Roman"/>
      <w:color w:val="auto"/>
    </w:rPr>
  </w:style>
  <w:style w:type="paragraph" w:customStyle="1" w:styleId="CM3">
    <w:name w:val="CM3"/>
    <w:basedOn w:val="Default"/>
    <w:next w:val="Default"/>
    <w:uiPriority w:val="99"/>
    <w:rsid w:val="00353189"/>
    <w:rPr>
      <w:rFonts w:ascii="EU Albertina" w:hAnsi="EU Albertina" w:cs="Times New Roman"/>
      <w:color w:val="auto"/>
    </w:rPr>
  </w:style>
  <w:style w:type="paragraph" w:styleId="NormalWeb">
    <w:name w:val="Normal (Web)"/>
    <w:basedOn w:val="Normal"/>
    <w:uiPriority w:val="99"/>
    <w:unhideWhenUsed/>
    <w:rsid w:val="0035318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353189"/>
    <w:rPr>
      <w:i/>
      <w:iCs/>
    </w:rPr>
  </w:style>
  <w:style w:type="paragraph" w:customStyle="1" w:styleId="TableMainHeading">
    <w:name w:val="TableMainHeading"/>
    <w:basedOn w:val="Normal"/>
    <w:next w:val="Normal"/>
    <w:uiPriority w:val="99"/>
    <w:rsid w:val="00353189"/>
    <w:pPr>
      <w:jc w:val="left"/>
    </w:pPr>
    <w:rPr>
      <w:rFonts w:ascii="Segoe UI" w:hAnsi="Segoe UI"/>
      <w:sz w:val="22"/>
      <w:szCs w:val="20"/>
    </w:rPr>
  </w:style>
  <w:style w:type="paragraph" w:customStyle="1" w:styleId="body">
    <w:name w:val="body"/>
    <w:link w:val="bodyChar"/>
    <w:qFormat/>
    <w:rsid w:val="00353189"/>
    <w:pPr>
      <w:spacing w:before="240" w:after="120" w:line="276" w:lineRule="auto"/>
      <w:jc w:val="both"/>
    </w:pPr>
    <w:rPr>
      <w:rFonts w:eastAsiaTheme="minorEastAsia"/>
      <w:kern w:val="0"/>
      <w:szCs w:val="24"/>
      <w:lang w:val="en-US"/>
      <w14:ligatures w14:val="none"/>
    </w:rPr>
  </w:style>
  <w:style w:type="character" w:customStyle="1" w:styleId="Mention1">
    <w:name w:val="Mention1"/>
    <w:basedOn w:val="DefaultParagraphFont"/>
    <w:uiPriority w:val="99"/>
    <w:unhideWhenUsed/>
    <w:rsid w:val="00353189"/>
    <w:rPr>
      <w:color w:val="2B579A"/>
      <w:shd w:val="clear" w:color="auto" w:fill="E6E6E6"/>
    </w:rPr>
  </w:style>
  <w:style w:type="character" w:customStyle="1" w:styleId="UnresolvedMention1">
    <w:name w:val="Unresolved Mention1"/>
    <w:basedOn w:val="DefaultParagraphFont"/>
    <w:uiPriority w:val="99"/>
    <w:unhideWhenUsed/>
    <w:rsid w:val="00353189"/>
    <w:rPr>
      <w:color w:val="605E5C"/>
      <w:shd w:val="clear" w:color="auto" w:fill="E1DFDD"/>
    </w:rPr>
  </w:style>
  <w:style w:type="paragraph" w:customStyle="1" w:styleId="Chartleft-Measure">
    <w:name w:val="Chart left - Measure"/>
    <w:link w:val="Chartleft-MeasureChar"/>
    <w:uiPriority w:val="3"/>
    <w:qFormat/>
    <w:rsid w:val="00353189"/>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14:ligatures w14:val="none"/>
    </w:rPr>
  </w:style>
  <w:style w:type="character" w:customStyle="1" w:styleId="Chartleft-MeasureChar">
    <w:name w:val="Chart left - Measure Char"/>
    <w:link w:val="Chartleft-Measure"/>
    <w:uiPriority w:val="3"/>
    <w:rsid w:val="00353189"/>
    <w:rPr>
      <w:rFonts w:ascii="Arial" w:eastAsia="Times New Roman" w:hAnsi="Arial" w:cs="Sendnya"/>
      <w:color w:val="003299"/>
      <w:kern w:val="12"/>
      <w:sz w:val="12"/>
      <w:lang w:eastAsia="en-GB"/>
      <w14:ligatures w14:val="none"/>
    </w:rPr>
  </w:style>
  <w:style w:type="character" w:customStyle="1" w:styleId="lxp-definition-term">
    <w:name w:val="lxp-definition-term"/>
    <w:basedOn w:val="DefaultParagraphFont"/>
    <w:rsid w:val="00353189"/>
  </w:style>
  <w:style w:type="character" w:customStyle="1" w:styleId="FooterChar1">
    <w:name w:val="Footer Char1"/>
    <w:uiPriority w:val="99"/>
    <w:locked/>
    <w:rsid w:val="00353189"/>
    <w:rPr>
      <w:rFonts w:ascii="Arial" w:hAnsi="Arial" w:cs="Times New Roman"/>
      <w:sz w:val="14"/>
      <w:szCs w:val="14"/>
      <w:lang w:eastAsia="de-DE"/>
    </w:rPr>
  </w:style>
  <w:style w:type="character" w:customStyle="1" w:styleId="HeaderChar1">
    <w:name w:val="Header Char1"/>
    <w:uiPriority w:val="99"/>
    <w:locked/>
    <w:rsid w:val="00353189"/>
    <w:rPr>
      <w:rFonts w:ascii="Arial" w:hAnsi="Arial" w:cs="Times New Roman"/>
      <w:sz w:val="20"/>
      <w:szCs w:val="20"/>
      <w:lang w:eastAsia="de-DE"/>
    </w:rPr>
  </w:style>
  <w:style w:type="character" w:customStyle="1" w:styleId="bodyChar">
    <w:name w:val="body Char"/>
    <w:basedOn w:val="DefaultParagraphFont"/>
    <w:link w:val="body"/>
    <w:rsid w:val="00353189"/>
    <w:rPr>
      <w:rFonts w:eastAsiaTheme="minorEastAsia"/>
      <w:kern w:val="0"/>
      <w:szCs w:val="24"/>
      <w:lang w:val="en-US"/>
      <w14:ligatures w14:val="none"/>
    </w:rPr>
  </w:style>
  <w:style w:type="character" w:customStyle="1" w:styleId="Mention2">
    <w:name w:val="Mention2"/>
    <w:basedOn w:val="DefaultParagraphFont"/>
    <w:uiPriority w:val="99"/>
    <w:unhideWhenUsed/>
    <w:rsid w:val="00353189"/>
    <w:rPr>
      <w:color w:val="2B579A"/>
      <w:shd w:val="clear" w:color="auto" w:fill="E1DFDD"/>
    </w:rPr>
  </w:style>
  <w:style w:type="paragraph" w:customStyle="1" w:styleId="NumPar2">
    <w:name w:val="NumPar 2"/>
    <w:basedOn w:val="Normal"/>
    <w:next w:val="Normal"/>
    <w:rsid w:val="00353189"/>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353189"/>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353189"/>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353189"/>
    <w:rPr>
      <w:color w:val="2B579A"/>
      <w:shd w:val="clear" w:color="auto" w:fill="E1DFDD"/>
    </w:rPr>
  </w:style>
  <w:style w:type="character" w:customStyle="1" w:styleId="UnresolvedMention2">
    <w:name w:val="Unresolved Mention2"/>
    <w:basedOn w:val="DefaultParagraphFont"/>
    <w:uiPriority w:val="99"/>
    <w:semiHidden/>
    <w:unhideWhenUsed/>
    <w:rsid w:val="00353189"/>
    <w:rPr>
      <w:color w:val="605E5C"/>
      <w:shd w:val="clear" w:color="auto" w:fill="E1DFDD"/>
    </w:rPr>
  </w:style>
  <w:style w:type="character" w:customStyle="1" w:styleId="Mention30">
    <w:name w:val="Mention30"/>
    <w:basedOn w:val="DefaultParagraphFont"/>
    <w:uiPriority w:val="99"/>
    <w:unhideWhenUsed/>
    <w:rsid w:val="00353189"/>
    <w:rPr>
      <w:color w:val="2B579A"/>
      <w:shd w:val="clear" w:color="auto" w:fill="E1DFDD"/>
    </w:rPr>
  </w:style>
  <w:style w:type="character" w:customStyle="1" w:styleId="UnresolvedMention20">
    <w:name w:val="Unresolved Mention20"/>
    <w:basedOn w:val="DefaultParagraphFont"/>
    <w:uiPriority w:val="99"/>
    <w:semiHidden/>
    <w:unhideWhenUsed/>
    <w:rsid w:val="00353189"/>
    <w:rPr>
      <w:color w:val="605E5C"/>
      <w:shd w:val="clear" w:color="auto" w:fill="E1DFDD"/>
    </w:rPr>
  </w:style>
  <w:style w:type="character" w:customStyle="1" w:styleId="ui-provider">
    <w:name w:val="ui-provider"/>
    <w:basedOn w:val="DefaultParagraphFont"/>
    <w:rsid w:val="00353189"/>
  </w:style>
  <w:style w:type="character" w:customStyle="1" w:styleId="ListParagraphChar">
    <w:name w:val="List Paragraph Char"/>
    <w:aliases w:val="Paragraphe EI Char,Paragraphe de liste1 Char,EC Char,List Paragraph_Sections Char,Issue Action POC Char,3 Char,POCG Table Text Char,Dot pt Char,F5 List Paragraph Char,List Paragraph Char Char Char Char,Indicator Text Char"/>
    <w:basedOn w:val="DefaultParagraphFont"/>
    <w:link w:val="ListParagraph"/>
    <w:uiPriority w:val="34"/>
    <w:qFormat/>
    <w:rsid w:val="00FF5804"/>
    <w:rPr>
      <w:rFonts w:ascii="Verdana" w:eastAsia="Times New Roman" w:hAnsi="Verdana" w:cs="Times New Roman"/>
      <w:kern w:val="0"/>
      <w:sz w:val="20"/>
      <w:szCs w:val="24"/>
      <w14:ligatures w14:val="none"/>
    </w:rPr>
  </w:style>
  <w:style w:type="paragraph" w:customStyle="1" w:styleId="paragraph">
    <w:name w:val="paragraph"/>
    <w:basedOn w:val="Normal"/>
    <w:rsid w:val="0022031E"/>
    <w:pPr>
      <w:spacing w:before="100" w:beforeAutospacing="1" w:after="100" w:afterAutospacing="1"/>
      <w:jc w:val="left"/>
    </w:pPr>
    <w:rPr>
      <w:rFonts w:ascii="Times New Roman" w:hAnsi="Times New Roman"/>
      <w:sz w:val="24"/>
      <w:lang w:eastAsia="en-GB"/>
    </w:rPr>
  </w:style>
  <w:style w:type="character" w:customStyle="1" w:styleId="normaltextrun">
    <w:name w:val="normaltextrun"/>
    <w:basedOn w:val="DefaultParagraphFont"/>
    <w:rsid w:val="0022031E"/>
  </w:style>
  <w:style w:type="character" w:customStyle="1" w:styleId="eop">
    <w:name w:val="eop"/>
    <w:basedOn w:val="DefaultParagraphFont"/>
    <w:rsid w:val="0022031E"/>
  </w:style>
  <w:style w:type="paragraph" w:customStyle="1" w:styleId="numberedparagraph">
    <w:name w:val="numbered paragraph"/>
    <w:basedOn w:val="Normal"/>
    <w:link w:val="numberedparagraphChar"/>
    <w:uiPriority w:val="1"/>
    <w:qFormat/>
    <w:rsid w:val="743F314D"/>
    <w:pPr>
      <w:spacing w:before="240"/>
      <w:ind w:left="284" w:hanging="284"/>
    </w:pPr>
    <w:rPr>
      <w:sz w:val="22"/>
      <w:szCs w:val="22"/>
    </w:rPr>
  </w:style>
  <w:style w:type="character" w:customStyle="1" w:styleId="numberedparagraphChar">
    <w:name w:val="numbered paragraph Char"/>
    <w:basedOn w:val="DefaultParagraphFont"/>
    <w:link w:val="numberedparagraph"/>
    <w:uiPriority w:val="1"/>
    <w:rsid w:val="743F314D"/>
    <w:rPr>
      <w:rFonts w:ascii="Verdana" w:eastAsia="Times New Roman" w:hAnsi="Verdana" w:cs="Times New Roman"/>
      <w:kern w:val="0"/>
      <w14:ligatures w14:val="none"/>
    </w:rPr>
  </w:style>
  <w:style w:type="character" w:customStyle="1" w:styleId="UnresolvedMention3">
    <w:name w:val="Unresolved Mention3"/>
    <w:basedOn w:val="DefaultParagraphFont"/>
    <w:uiPriority w:val="99"/>
    <w:semiHidden/>
    <w:unhideWhenUsed/>
    <w:rsid w:val="00BF1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0066">
      <w:bodyDiv w:val="1"/>
      <w:marLeft w:val="0"/>
      <w:marRight w:val="0"/>
      <w:marTop w:val="0"/>
      <w:marBottom w:val="0"/>
      <w:divBdr>
        <w:top w:val="none" w:sz="0" w:space="0" w:color="auto"/>
        <w:left w:val="none" w:sz="0" w:space="0" w:color="auto"/>
        <w:bottom w:val="none" w:sz="0" w:space="0" w:color="auto"/>
        <w:right w:val="none" w:sz="0" w:space="0" w:color="auto"/>
      </w:divBdr>
    </w:div>
    <w:div w:id="84770605">
      <w:bodyDiv w:val="1"/>
      <w:marLeft w:val="0"/>
      <w:marRight w:val="0"/>
      <w:marTop w:val="0"/>
      <w:marBottom w:val="0"/>
      <w:divBdr>
        <w:top w:val="none" w:sz="0" w:space="0" w:color="auto"/>
        <w:left w:val="none" w:sz="0" w:space="0" w:color="auto"/>
        <w:bottom w:val="none" w:sz="0" w:space="0" w:color="auto"/>
        <w:right w:val="none" w:sz="0" w:space="0" w:color="auto"/>
      </w:divBdr>
    </w:div>
    <w:div w:id="90321786">
      <w:bodyDiv w:val="1"/>
      <w:marLeft w:val="0"/>
      <w:marRight w:val="0"/>
      <w:marTop w:val="0"/>
      <w:marBottom w:val="0"/>
      <w:divBdr>
        <w:top w:val="none" w:sz="0" w:space="0" w:color="auto"/>
        <w:left w:val="none" w:sz="0" w:space="0" w:color="auto"/>
        <w:bottom w:val="none" w:sz="0" w:space="0" w:color="auto"/>
        <w:right w:val="none" w:sz="0" w:space="0" w:color="auto"/>
      </w:divBdr>
    </w:div>
    <w:div w:id="166600470">
      <w:bodyDiv w:val="1"/>
      <w:marLeft w:val="0"/>
      <w:marRight w:val="0"/>
      <w:marTop w:val="0"/>
      <w:marBottom w:val="0"/>
      <w:divBdr>
        <w:top w:val="none" w:sz="0" w:space="0" w:color="auto"/>
        <w:left w:val="none" w:sz="0" w:space="0" w:color="auto"/>
        <w:bottom w:val="none" w:sz="0" w:space="0" w:color="auto"/>
        <w:right w:val="none" w:sz="0" w:space="0" w:color="auto"/>
      </w:divBdr>
    </w:div>
    <w:div w:id="469397653">
      <w:bodyDiv w:val="1"/>
      <w:marLeft w:val="0"/>
      <w:marRight w:val="0"/>
      <w:marTop w:val="0"/>
      <w:marBottom w:val="0"/>
      <w:divBdr>
        <w:top w:val="none" w:sz="0" w:space="0" w:color="auto"/>
        <w:left w:val="none" w:sz="0" w:space="0" w:color="auto"/>
        <w:bottom w:val="none" w:sz="0" w:space="0" w:color="auto"/>
        <w:right w:val="none" w:sz="0" w:space="0" w:color="auto"/>
      </w:divBdr>
    </w:div>
    <w:div w:id="749079673">
      <w:bodyDiv w:val="1"/>
      <w:marLeft w:val="0"/>
      <w:marRight w:val="0"/>
      <w:marTop w:val="0"/>
      <w:marBottom w:val="0"/>
      <w:divBdr>
        <w:top w:val="none" w:sz="0" w:space="0" w:color="auto"/>
        <w:left w:val="none" w:sz="0" w:space="0" w:color="auto"/>
        <w:bottom w:val="none" w:sz="0" w:space="0" w:color="auto"/>
        <w:right w:val="none" w:sz="0" w:space="0" w:color="auto"/>
      </w:divBdr>
    </w:div>
    <w:div w:id="968777951">
      <w:bodyDiv w:val="1"/>
      <w:marLeft w:val="0"/>
      <w:marRight w:val="0"/>
      <w:marTop w:val="0"/>
      <w:marBottom w:val="0"/>
      <w:divBdr>
        <w:top w:val="none" w:sz="0" w:space="0" w:color="auto"/>
        <w:left w:val="none" w:sz="0" w:space="0" w:color="auto"/>
        <w:bottom w:val="none" w:sz="0" w:space="0" w:color="auto"/>
        <w:right w:val="none" w:sz="0" w:space="0" w:color="auto"/>
      </w:divBdr>
    </w:div>
    <w:div w:id="1118328648">
      <w:bodyDiv w:val="1"/>
      <w:marLeft w:val="0"/>
      <w:marRight w:val="0"/>
      <w:marTop w:val="0"/>
      <w:marBottom w:val="0"/>
      <w:divBdr>
        <w:top w:val="none" w:sz="0" w:space="0" w:color="auto"/>
        <w:left w:val="none" w:sz="0" w:space="0" w:color="auto"/>
        <w:bottom w:val="none" w:sz="0" w:space="0" w:color="auto"/>
        <w:right w:val="none" w:sz="0" w:space="0" w:color="auto"/>
      </w:divBdr>
    </w:div>
    <w:div w:id="1773738833">
      <w:bodyDiv w:val="1"/>
      <w:marLeft w:val="0"/>
      <w:marRight w:val="0"/>
      <w:marTop w:val="0"/>
      <w:marBottom w:val="0"/>
      <w:divBdr>
        <w:top w:val="none" w:sz="0" w:space="0" w:color="auto"/>
        <w:left w:val="none" w:sz="0" w:space="0" w:color="auto"/>
        <w:bottom w:val="none" w:sz="0" w:space="0" w:color="auto"/>
        <w:right w:val="none" w:sz="0" w:space="0" w:color="auto"/>
      </w:divBdr>
    </w:div>
    <w:div w:id="2022584253">
      <w:bodyDiv w:val="1"/>
      <w:marLeft w:val="0"/>
      <w:marRight w:val="0"/>
      <w:marTop w:val="0"/>
      <w:marBottom w:val="0"/>
      <w:divBdr>
        <w:top w:val="none" w:sz="0" w:space="0" w:color="auto"/>
        <w:left w:val="none" w:sz="0" w:space="0" w:color="auto"/>
        <w:bottom w:val="none" w:sz="0" w:space="0" w:color="auto"/>
        <w:right w:val="none" w:sz="0" w:space="0" w:color="auto"/>
      </w:divBdr>
    </w:div>
    <w:div w:id="21267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FB875-062C-455B-9E18-49A852F9ACF9}">
  <ds:schemaRefs>
    <ds:schemaRef ds:uri="http://schemas.openxmlformats.org/officeDocument/2006/bibliography"/>
  </ds:schemaRefs>
</ds:datastoreItem>
</file>

<file path=docMetadata/LabelInfo.xml><?xml version="1.0" encoding="utf-8"?>
<clbl:labelList xmlns:clbl="http://schemas.microsoft.com/office/2020/mipLabelMetadata">
  <clbl:label id="{e66ba66e-8b7b-475b-ae81-4aab15d5f212}" enabled="1" method="Privilege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6</TotalTime>
  <Pages>20</Pages>
  <Words>6072</Words>
  <Characters>33876</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39869</CharactersWithSpaces>
  <SharedDoc>false</SharedDoc>
  <HLinks>
    <vt:vector size="240" baseType="variant">
      <vt:variant>
        <vt:i4>4259845</vt:i4>
      </vt:variant>
      <vt:variant>
        <vt:i4>237</vt:i4>
      </vt:variant>
      <vt:variant>
        <vt:i4>0</vt:i4>
      </vt:variant>
      <vt:variant>
        <vt:i4>5</vt:i4>
      </vt:variant>
      <vt:variant>
        <vt:lpwstr>https://euclid.eba.europa.eu/register/pir/search</vt:lpwstr>
      </vt:variant>
      <vt:variant>
        <vt:lpwstr/>
      </vt:variant>
      <vt:variant>
        <vt:i4>1114162</vt:i4>
      </vt:variant>
      <vt:variant>
        <vt:i4>230</vt:i4>
      </vt:variant>
      <vt:variant>
        <vt:i4>0</vt:i4>
      </vt:variant>
      <vt:variant>
        <vt:i4>5</vt:i4>
      </vt:variant>
      <vt:variant>
        <vt:lpwstr/>
      </vt:variant>
      <vt:variant>
        <vt:lpwstr>_Toc164073034</vt:lpwstr>
      </vt:variant>
      <vt:variant>
        <vt:i4>1114162</vt:i4>
      </vt:variant>
      <vt:variant>
        <vt:i4>224</vt:i4>
      </vt:variant>
      <vt:variant>
        <vt:i4>0</vt:i4>
      </vt:variant>
      <vt:variant>
        <vt:i4>5</vt:i4>
      </vt:variant>
      <vt:variant>
        <vt:lpwstr/>
      </vt:variant>
      <vt:variant>
        <vt:lpwstr>_Toc164073033</vt:lpwstr>
      </vt:variant>
      <vt:variant>
        <vt:i4>1114162</vt:i4>
      </vt:variant>
      <vt:variant>
        <vt:i4>218</vt:i4>
      </vt:variant>
      <vt:variant>
        <vt:i4>0</vt:i4>
      </vt:variant>
      <vt:variant>
        <vt:i4>5</vt:i4>
      </vt:variant>
      <vt:variant>
        <vt:lpwstr/>
      </vt:variant>
      <vt:variant>
        <vt:lpwstr>_Toc164073032</vt:lpwstr>
      </vt:variant>
      <vt:variant>
        <vt:i4>1114162</vt:i4>
      </vt:variant>
      <vt:variant>
        <vt:i4>212</vt:i4>
      </vt:variant>
      <vt:variant>
        <vt:i4>0</vt:i4>
      </vt:variant>
      <vt:variant>
        <vt:i4>5</vt:i4>
      </vt:variant>
      <vt:variant>
        <vt:lpwstr/>
      </vt:variant>
      <vt:variant>
        <vt:lpwstr>_Toc164073031</vt:lpwstr>
      </vt:variant>
      <vt:variant>
        <vt:i4>1114162</vt:i4>
      </vt:variant>
      <vt:variant>
        <vt:i4>206</vt:i4>
      </vt:variant>
      <vt:variant>
        <vt:i4>0</vt:i4>
      </vt:variant>
      <vt:variant>
        <vt:i4>5</vt:i4>
      </vt:variant>
      <vt:variant>
        <vt:lpwstr/>
      </vt:variant>
      <vt:variant>
        <vt:lpwstr>_Toc164073030</vt:lpwstr>
      </vt:variant>
      <vt:variant>
        <vt:i4>1048626</vt:i4>
      </vt:variant>
      <vt:variant>
        <vt:i4>200</vt:i4>
      </vt:variant>
      <vt:variant>
        <vt:i4>0</vt:i4>
      </vt:variant>
      <vt:variant>
        <vt:i4>5</vt:i4>
      </vt:variant>
      <vt:variant>
        <vt:lpwstr/>
      </vt:variant>
      <vt:variant>
        <vt:lpwstr>_Toc164073029</vt:lpwstr>
      </vt:variant>
      <vt:variant>
        <vt:i4>1048626</vt:i4>
      </vt:variant>
      <vt:variant>
        <vt:i4>194</vt:i4>
      </vt:variant>
      <vt:variant>
        <vt:i4>0</vt:i4>
      </vt:variant>
      <vt:variant>
        <vt:i4>5</vt:i4>
      </vt:variant>
      <vt:variant>
        <vt:lpwstr/>
      </vt:variant>
      <vt:variant>
        <vt:lpwstr>_Toc164073028</vt:lpwstr>
      </vt:variant>
      <vt:variant>
        <vt:i4>1048626</vt:i4>
      </vt:variant>
      <vt:variant>
        <vt:i4>188</vt:i4>
      </vt:variant>
      <vt:variant>
        <vt:i4>0</vt:i4>
      </vt:variant>
      <vt:variant>
        <vt:i4>5</vt:i4>
      </vt:variant>
      <vt:variant>
        <vt:lpwstr/>
      </vt:variant>
      <vt:variant>
        <vt:lpwstr>_Toc164073027</vt:lpwstr>
      </vt:variant>
      <vt:variant>
        <vt:i4>1048626</vt:i4>
      </vt:variant>
      <vt:variant>
        <vt:i4>182</vt:i4>
      </vt:variant>
      <vt:variant>
        <vt:i4>0</vt:i4>
      </vt:variant>
      <vt:variant>
        <vt:i4>5</vt:i4>
      </vt:variant>
      <vt:variant>
        <vt:lpwstr/>
      </vt:variant>
      <vt:variant>
        <vt:lpwstr>_Toc164073026</vt:lpwstr>
      </vt:variant>
      <vt:variant>
        <vt:i4>1048626</vt:i4>
      </vt:variant>
      <vt:variant>
        <vt:i4>176</vt:i4>
      </vt:variant>
      <vt:variant>
        <vt:i4>0</vt:i4>
      </vt:variant>
      <vt:variant>
        <vt:i4>5</vt:i4>
      </vt:variant>
      <vt:variant>
        <vt:lpwstr/>
      </vt:variant>
      <vt:variant>
        <vt:lpwstr>_Toc164073025</vt:lpwstr>
      </vt:variant>
      <vt:variant>
        <vt:i4>1048626</vt:i4>
      </vt:variant>
      <vt:variant>
        <vt:i4>170</vt:i4>
      </vt:variant>
      <vt:variant>
        <vt:i4>0</vt:i4>
      </vt:variant>
      <vt:variant>
        <vt:i4>5</vt:i4>
      </vt:variant>
      <vt:variant>
        <vt:lpwstr/>
      </vt:variant>
      <vt:variant>
        <vt:lpwstr>_Toc164073024</vt:lpwstr>
      </vt:variant>
      <vt:variant>
        <vt:i4>1048626</vt:i4>
      </vt:variant>
      <vt:variant>
        <vt:i4>164</vt:i4>
      </vt:variant>
      <vt:variant>
        <vt:i4>0</vt:i4>
      </vt:variant>
      <vt:variant>
        <vt:i4>5</vt:i4>
      </vt:variant>
      <vt:variant>
        <vt:lpwstr/>
      </vt:variant>
      <vt:variant>
        <vt:lpwstr>_Toc164073023</vt:lpwstr>
      </vt:variant>
      <vt:variant>
        <vt:i4>1048626</vt:i4>
      </vt:variant>
      <vt:variant>
        <vt:i4>158</vt:i4>
      </vt:variant>
      <vt:variant>
        <vt:i4>0</vt:i4>
      </vt:variant>
      <vt:variant>
        <vt:i4>5</vt:i4>
      </vt:variant>
      <vt:variant>
        <vt:lpwstr/>
      </vt:variant>
      <vt:variant>
        <vt:lpwstr>_Toc164073022</vt:lpwstr>
      </vt:variant>
      <vt:variant>
        <vt:i4>1048626</vt:i4>
      </vt:variant>
      <vt:variant>
        <vt:i4>152</vt:i4>
      </vt:variant>
      <vt:variant>
        <vt:i4>0</vt:i4>
      </vt:variant>
      <vt:variant>
        <vt:i4>5</vt:i4>
      </vt:variant>
      <vt:variant>
        <vt:lpwstr/>
      </vt:variant>
      <vt:variant>
        <vt:lpwstr>_Toc164073021</vt:lpwstr>
      </vt:variant>
      <vt:variant>
        <vt:i4>1048626</vt:i4>
      </vt:variant>
      <vt:variant>
        <vt:i4>146</vt:i4>
      </vt:variant>
      <vt:variant>
        <vt:i4>0</vt:i4>
      </vt:variant>
      <vt:variant>
        <vt:i4>5</vt:i4>
      </vt:variant>
      <vt:variant>
        <vt:lpwstr/>
      </vt:variant>
      <vt:variant>
        <vt:lpwstr>_Toc164073020</vt:lpwstr>
      </vt:variant>
      <vt:variant>
        <vt:i4>1245234</vt:i4>
      </vt:variant>
      <vt:variant>
        <vt:i4>140</vt:i4>
      </vt:variant>
      <vt:variant>
        <vt:i4>0</vt:i4>
      </vt:variant>
      <vt:variant>
        <vt:i4>5</vt:i4>
      </vt:variant>
      <vt:variant>
        <vt:lpwstr/>
      </vt:variant>
      <vt:variant>
        <vt:lpwstr>_Toc164073019</vt:lpwstr>
      </vt:variant>
      <vt:variant>
        <vt:i4>1245234</vt:i4>
      </vt:variant>
      <vt:variant>
        <vt:i4>134</vt:i4>
      </vt:variant>
      <vt:variant>
        <vt:i4>0</vt:i4>
      </vt:variant>
      <vt:variant>
        <vt:i4>5</vt:i4>
      </vt:variant>
      <vt:variant>
        <vt:lpwstr/>
      </vt:variant>
      <vt:variant>
        <vt:lpwstr>_Toc164073018</vt:lpwstr>
      </vt:variant>
      <vt:variant>
        <vt:i4>1245234</vt:i4>
      </vt:variant>
      <vt:variant>
        <vt:i4>128</vt:i4>
      </vt:variant>
      <vt:variant>
        <vt:i4>0</vt:i4>
      </vt:variant>
      <vt:variant>
        <vt:i4>5</vt:i4>
      </vt:variant>
      <vt:variant>
        <vt:lpwstr/>
      </vt:variant>
      <vt:variant>
        <vt:lpwstr>_Toc164073017</vt:lpwstr>
      </vt:variant>
      <vt:variant>
        <vt:i4>1245234</vt:i4>
      </vt:variant>
      <vt:variant>
        <vt:i4>122</vt:i4>
      </vt:variant>
      <vt:variant>
        <vt:i4>0</vt:i4>
      </vt:variant>
      <vt:variant>
        <vt:i4>5</vt:i4>
      </vt:variant>
      <vt:variant>
        <vt:lpwstr/>
      </vt:variant>
      <vt:variant>
        <vt:lpwstr>_Toc164073016</vt:lpwstr>
      </vt:variant>
      <vt:variant>
        <vt:i4>1245234</vt:i4>
      </vt:variant>
      <vt:variant>
        <vt:i4>116</vt:i4>
      </vt:variant>
      <vt:variant>
        <vt:i4>0</vt:i4>
      </vt:variant>
      <vt:variant>
        <vt:i4>5</vt:i4>
      </vt:variant>
      <vt:variant>
        <vt:lpwstr/>
      </vt:variant>
      <vt:variant>
        <vt:lpwstr>_Toc164073015</vt:lpwstr>
      </vt:variant>
      <vt:variant>
        <vt:i4>1245234</vt:i4>
      </vt:variant>
      <vt:variant>
        <vt:i4>110</vt:i4>
      </vt:variant>
      <vt:variant>
        <vt:i4>0</vt:i4>
      </vt:variant>
      <vt:variant>
        <vt:i4>5</vt:i4>
      </vt:variant>
      <vt:variant>
        <vt:lpwstr/>
      </vt:variant>
      <vt:variant>
        <vt:lpwstr>_Toc164073014</vt:lpwstr>
      </vt:variant>
      <vt:variant>
        <vt:i4>1245234</vt:i4>
      </vt:variant>
      <vt:variant>
        <vt:i4>104</vt:i4>
      </vt:variant>
      <vt:variant>
        <vt:i4>0</vt:i4>
      </vt:variant>
      <vt:variant>
        <vt:i4>5</vt:i4>
      </vt:variant>
      <vt:variant>
        <vt:lpwstr/>
      </vt:variant>
      <vt:variant>
        <vt:lpwstr>_Toc164073013</vt:lpwstr>
      </vt:variant>
      <vt:variant>
        <vt:i4>1245234</vt:i4>
      </vt:variant>
      <vt:variant>
        <vt:i4>98</vt:i4>
      </vt:variant>
      <vt:variant>
        <vt:i4>0</vt:i4>
      </vt:variant>
      <vt:variant>
        <vt:i4>5</vt:i4>
      </vt:variant>
      <vt:variant>
        <vt:lpwstr/>
      </vt:variant>
      <vt:variant>
        <vt:lpwstr>_Toc164073012</vt:lpwstr>
      </vt:variant>
      <vt:variant>
        <vt:i4>1245234</vt:i4>
      </vt:variant>
      <vt:variant>
        <vt:i4>92</vt:i4>
      </vt:variant>
      <vt:variant>
        <vt:i4>0</vt:i4>
      </vt:variant>
      <vt:variant>
        <vt:i4>5</vt:i4>
      </vt:variant>
      <vt:variant>
        <vt:lpwstr/>
      </vt:variant>
      <vt:variant>
        <vt:lpwstr>_Toc164073011</vt:lpwstr>
      </vt:variant>
      <vt:variant>
        <vt:i4>1245234</vt:i4>
      </vt:variant>
      <vt:variant>
        <vt:i4>86</vt:i4>
      </vt:variant>
      <vt:variant>
        <vt:i4>0</vt:i4>
      </vt:variant>
      <vt:variant>
        <vt:i4>5</vt:i4>
      </vt:variant>
      <vt:variant>
        <vt:lpwstr/>
      </vt:variant>
      <vt:variant>
        <vt:lpwstr>_Toc164073010</vt:lpwstr>
      </vt:variant>
      <vt:variant>
        <vt:i4>1179698</vt:i4>
      </vt:variant>
      <vt:variant>
        <vt:i4>80</vt:i4>
      </vt:variant>
      <vt:variant>
        <vt:i4>0</vt:i4>
      </vt:variant>
      <vt:variant>
        <vt:i4>5</vt:i4>
      </vt:variant>
      <vt:variant>
        <vt:lpwstr/>
      </vt:variant>
      <vt:variant>
        <vt:lpwstr>_Toc164073009</vt:lpwstr>
      </vt:variant>
      <vt:variant>
        <vt:i4>1179698</vt:i4>
      </vt:variant>
      <vt:variant>
        <vt:i4>74</vt:i4>
      </vt:variant>
      <vt:variant>
        <vt:i4>0</vt:i4>
      </vt:variant>
      <vt:variant>
        <vt:i4>5</vt:i4>
      </vt:variant>
      <vt:variant>
        <vt:lpwstr/>
      </vt:variant>
      <vt:variant>
        <vt:lpwstr>_Toc164073008</vt:lpwstr>
      </vt:variant>
      <vt:variant>
        <vt:i4>1179698</vt:i4>
      </vt:variant>
      <vt:variant>
        <vt:i4>68</vt:i4>
      </vt:variant>
      <vt:variant>
        <vt:i4>0</vt:i4>
      </vt:variant>
      <vt:variant>
        <vt:i4>5</vt:i4>
      </vt:variant>
      <vt:variant>
        <vt:lpwstr/>
      </vt:variant>
      <vt:variant>
        <vt:lpwstr>_Toc164073007</vt:lpwstr>
      </vt:variant>
      <vt:variant>
        <vt:i4>1179698</vt:i4>
      </vt:variant>
      <vt:variant>
        <vt:i4>62</vt:i4>
      </vt:variant>
      <vt:variant>
        <vt:i4>0</vt:i4>
      </vt:variant>
      <vt:variant>
        <vt:i4>5</vt:i4>
      </vt:variant>
      <vt:variant>
        <vt:lpwstr/>
      </vt:variant>
      <vt:variant>
        <vt:lpwstr>_Toc164073006</vt:lpwstr>
      </vt:variant>
      <vt:variant>
        <vt:i4>1179698</vt:i4>
      </vt:variant>
      <vt:variant>
        <vt:i4>56</vt:i4>
      </vt:variant>
      <vt:variant>
        <vt:i4>0</vt:i4>
      </vt:variant>
      <vt:variant>
        <vt:i4>5</vt:i4>
      </vt:variant>
      <vt:variant>
        <vt:lpwstr/>
      </vt:variant>
      <vt:variant>
        <vt:lpwstr>_Toc164073005</vt:lpwstr>
      </vt:variant>
      <vt:variant>
        <vt:i4>1179698</vt:i4>
      </vt:variant>
      <vt:variant>
        <vt:i4>50</vt:i4>
      </vt:variant>
      <vt:variant>
        <vt:i4>0</vt:i4>
      </vt:variant>
      <vt:variant>
        <vt:i4>5</vt:i4>
      </vt:variant>
      <vt:variant>
        <vt:lpwstr/>
      </vt:variant>
      <vt:variant>
        <vt:lpwstr>_Toc164073004</vt:lpwstr>
      </vt:variant>
      <vt:variant>
        <vt:i4>1179698</vt:i4>
      </vt:variant>
      <vt:variant>
        <vt:i4>44</vt:i4>
      </vt:variant>
      <vt:variant>
        <vt:i4>0</vt:i4>
      </vt:variant>
      <vt:variant>
        <vt:i4>5</vt:i4>
      </vt:variant>
      <vt:variant>
        <vt:lpwstr/>
      </vt:variant>
      <vt:variant>
        <vt:lpwstr>_Toc164073003</vt:lpwstr>
      </vt:variant>
      <vt:variant>
        <vt:i4>1179698</vt:i4>
      </vt:variant>
      <vt:variant>
        <vt:i4>38</vt:i4>
      </vt:variant>
      <vt:variant>
        <vt:i4>0</vt:i4>
      </vt:variant>
      <vt:variant>
        <vt:i4>5</vt:i4>
      </vt:variant>
      <vt:variant>
        <vt:lpwstr/>
      </vt:variant>
      <vt:variant>
        <vt:lpwstr>_Toc164073002</vt:lpwstr>
      </vt:variant>
      <vt:variant>
        <vt:i4>1179698</vt:i4>
      </vt:variant>
      <vt:variant>
        <vt:i4>32</vt:i4>
      </vt:variant>
      <vt:variant>
        <vt:i4>0</vt:i4>
      </vt:variant>
      <vt:variant>
        <vt:i4>5</vt:i4>
      </vt:variant>
      <vt:variant>
        <vt:lpwstr/>
      </vt:variant>
      <vt:variant>
        <vt:lpwstr>_Toc164073001</vt:lpwstr>
      </vt:variant>
      <vt:variant>
        <vt:i4>1179698</vt:i4>
      </vt:variant>
      <vt:variant>
        <vt:i4>26</vt:i4>
      </vt:variant>
      <vt:variant>
        <vt:i4>0</vt:i4>
      </vt:variant>
      <vt:variant>
        <vt:i4>5</vt:i4>
      </vt:variant>
      <vt:variant>
        <vt:lpwstr/>
      </vt:variant>
      <vt:variant>
        <vt:lpwstr>_Toc164073000</vt:lpwstr>
      </vt:variant>
      <vt:variant>
        <vt:i4>1703995</vt:i4>
      </vt:variant>
      <vt:variant>
        <vt:i4>20</vt:i4>
      </vt:variant>
      <vt:variant>
        <vt:i4>0</vt:i4>
      </vt:variant>
      <vt:variant>
        <vt:i4>5</vt:i4>
      </vt:variant>
      <vt:variant>
        <vt:lpwstr/>
      </vt:variant>
      <vt:variant>
        <vt:lpwstr>_Toc164072999</vt:lpwstr>
      </vt:variant>
      <vt:variant>
        <vt:i4>1703995</vt:i4>
      </vt:variant>
      <vt:variant>
        <vt:i4>14</vt:i4>
      </vt:variant>
      <vt:variant>
        <vt:i4>0</vt:i4>
      </vt:variant>
      <vt:variant>
        <vt:i4>5</vt:i4>
      </vt:variant>
      <vt:variant>
        <vt:lpwstr/>
      </vt:variant>
      <vt:variant>
        <vt:lpwstr>_Toc164072998</vt:lpwstr>
      </vt:variant>
      <vt:variant>
        <vt:i4>1703995</vt:i4>
      </vt:variant>
      <vt:variant>
        <vt:i4>8</vt:i4>
      </vt:variant>
      <vt:variant>
        <vt:i4>0</vt:i4>
      </vt:variant>
      <vt:variant>
        <vt:i4>5</vt:i4>
      </vt:variant>
      <vt:variant>
        <vt:lpwstr/>
      </vt:variant>
      <vt:variant>
        <vt:lpwstr>_Toc164072997</vt:lpwstr>
      </vt:variant>
      <vt:variant>
        <vt:i4>1703995</vt:i4>
      </vt:variant>
      <vt:variant>
        <vt:i4>2</vt:i4>
      </vt:variant>
      <vt:variant>
        <vt:i4>0</vt:i4>
      </vt:variant>
      <vt:variant>
        <vt:i4>5</vt:i4>
      </vt:variant>
      <vt:variant>
        <vt:lpwstr/>
      </vt:variant>
      <vt:variant>
        <vt:lpwstr>_Toc164072996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Trueman</dc:creator>
  <cp:keywords/>
  <dc:description/>
  <cp:lastModifiedBy>Imre Balint Branyiczki</cp:lastModifiedBy>
  <cp:revision>3</cp:revision>
  <dcterms:created xsi:type="dcterms:W3CDTF">2024-12-09T10:18:00Z</dcterms:created>
  <dcterms:modified xsi:type="dcterms:W3CDTF">2024-12-13T16:56:00Z</dcterms:modified>
</cp:coreProperties>
</file>